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428" w:rsidRPr="00A77F53" w:rsidRDefault="00D57428" w:rsidP="00D57428">
      <w:pPr>
        <w:pStyle w:val="a5"/>
        <w:keepLines/>
        <w:widowControl/>
        <w:tabs>
          <w:tab w:val="right" w:pos="10440"/>
          <w:tab w:val="right" w:pos="13323"/>
        </w:tabs>
        <w:rPr>
          <w:rFonts w:asciiTheme="minorHAnsi" w:eastAsia="MS Mincho" w:hAnsiTheme="minorHAnsi" w:cstheme="minorHAnsi"/>
          <w:noProof w:val="0"/>
          <w:sz w:val="24"/>
          <w:szCs w:val="24"/>
          <w:lang w:eastAsia="zh-TW"/>
        </w:rPr>
      </w:pPr>
      <w:bookmarkStart w:id="0" w:name="Title"/>
      <w:bookmarkStart w:id="1" w:name="DocumentFor"/>
      <w:bookmarkEnd w:id="0"/>
      <w:bookmarkEnd w:id="1"/>
      <w:r w:rsidRPr="00A77F53">
        <w:rPr>
          <w:rFonts w:asciiTheme="minorHAnsi" w:eastAsia="MS Mincho" w:hAnsiTheme="minorHAnsi" w:cstheme="minorHAnsi"/>
          <w:noProof w:val="0"/>
          <w:sz w:val="24"/>
          <w:szCs w:val="24"/>
        </w:rPr>
        <w:t>3</w:t>
      </w:r>
      <w:r w:rsidR="008676B5">
        <w:rPr>
          <w:rFonts w:asciiTheme="minorHAnsi" w:eastAsia="MS Mincho" w:hAnsiTheme="minorHAnsi" w:cstheme="minorHAnsi"/>
          <w:noProof w:val="0"/>
          <w:sz w:val="24"/>
          <w:szCs w:val="24"/>
        </w:rPr>
        <w:t>GPP TSG-RAN WG4 Meeting #101</w:t>
      </w:r>
      <w:r w:rsidRPr="00A77F53">
        <w:rPr>
          <w:rFonts w:asciiTheme="minorHAnsi" w:eastAsia="MS Mincho" w:hAnsiTheme="minorHAnsi" w:cstheme="minorHAnsi"/>
          <w:noProof w:val="0"/>
          <w:sz w:val="24"/>
          <w:szCs w:val="24"/>
        </w:rPr>
        <w:t xml:space="preserve">-e      </w:t>
      </w:r>
      <w:r w:rsidRPr="00A77F53">
        <w:rPr>
          <w:rFonts w:asciiTheme="minorHAnsi" w:eastAsia="新細明體" w:hAnsiTheme="minorHAnsi" w:cstheme="minorHAnsi"/>
          <w:noProof w:val="0"/>
          <w:sz w:val="24"/>
          <w:szCs w:val="24"/>
          <w:lang w:eastAsia="zh-TW"/>
        </w:rPr>
        <w:t xml:space="preserve">          </w:t>
      </w:r>
      <w:r w:rsidRPr="00A77F53">
        <w:rPr>
          <w:rFonts w:asciiTheme="minorHAnsi" w:eastAsia="MS Mincho" w:hAnsiTheme="minorHAnsi" w:cstheme="minorHAnsi"/>
          <w:noProof w:val="0"/>
          <w:sz w:val="24"/>
          <w:szCs w:val="24"/>
        </w:rPr>
        <w:t xml:space="preserve">              </w:t>
      </w:r>
      <w:r w:rsidR="00A77F53">
        <w:rPr>
          <w:rFonts w:ascii="新細明體" w:eastAsia="新細明體" w:hAnsi="新細明體" w:cstheme="minorHAnsi" w:hint="eastAsia"/>
          <w:noProof w:val="0"/>
          <w:sz w:val="24"/>
          <w:szCs w:val="24"/>
          <w:lang w:eastAsia="zh-TW"/>
        </w:rPr>
        <w:t xml:space="preserve">      </w:t>
      </w:r>
      <w:r w:rsidRPr="00A77F53">
        <w:rPr>
          <w:rFonts w:asciiTheme="minorHAnsi" w:eastAsia="MS Mincho" w:hAnsiTheme="minorHAnsi" w:cstheme="minorHAnsi"/>
          <w:noProof w:val="0"/>
          <w:sz w:val="24"/>
          <w:szCs w:val="24"/>
        </w:rPr>
        <w:t xml:space="preserve">   R4-2</w:t>
      </w:r>
      <w:bookmarkStart w:id="2" w:name="_GoBack"/>
      <w:r w:rsidRPr="00A77F53">
        <w:rPr>
          <w:rFonts w:asciiTheme="minorHAnsi" w:eastAsia="MS Mincho" w:hAnsiTheme="minorHAnsi" w:cstheme="minorHAnsi"/>
          <w:noProof w:val="0"/>
          <w:sz w:val="24"/>
          <w:szCs w:val="24"/>
        </w:rPr>
        <w:t>11</w:t>
      </w:r>
      <w:r w:rsidR="00850F8E" w:rsidRPr="00850F8E">
        <w:rPr>
          <w:rFonts w:asciiTheme="minorHAnsi" w:eastAsia="MS Mincho" w:hAnsiTheme="minorHAnsi" w:cstheme="minorHAnsi" w:hint="eastAsia"/>
          <w:noProof w:val="0"/>
          <w:sz w:val="24"/>
          <w:szCs w:val="24"/>
        </w:rPr>
        <w:t>8327</w:t>
      </w:r>
      <w:bookmarkEnd w:id="2"/>
    </w:p>
    <w:p w:rsidR="00D57428" w:rsidRPr="00A77F53" w:rsidRDefault="00D57428" w:rsidP="00D57428">
      <w:pPr>
        <w:pStyle w:val="a5"/>
        <w:tabs>
          <w:tab w:val="right" w:pos="9781"/>
          <w:tab w:val="right" w:pos="13323"/>
        </w:tabs>
        <w:outlineLvl w:val="0"/>
        <w:rPr>
          <w:rFonts w:asciiTheme="minorHAnsi" w:hAnsiTheme="minorHAnsi" w:cstheme="minorHAnsi"/>
          <w:b w:val="0"/>
          <w:sz w:val="24"/>
          <w:szCs w:val="24"/>
          <w:lang w:eastAsia="zh-CN"/>
        </w:rPr>
      </w:pPr>
      <w:r w:rsidRPr="00A77F53">
        <w:rPr>
          <w:rFonts w:asciiTheme="minorHAnsi" w:hAnsiTheme="minorHAnsi" w:cstheme="minorHAnsi"/>
          <w:sz w:val="24"/>
          <w:szCs w:val="24"/>
        </w:rPr>
        <w:t xml:space="preserve">Electronic Meeting, </w:t>
      </w:r>
      <w:r w:rsidR="00BB7AA2" w:rsidRPr="00BB7AA2">
        <w:rPr>
          <w:rFonts w:asciiTheme="minorHAnsi" w:hAnsiTheme="minorHAnsi" w:cstheme="minorHAnsi"/>
          <w:sz w:val="24"/>
          <w:szCs w:val="24"/>
        </w:rPr>
        <w:t>November 01-12, 2021</w:t>
      </w:r>
    </w:p>
    <w:p w:rsidR="00811EEE" w:rsidRPr="00A77F53" w:rsidRDefault="00811EEE" w:rsidP="00811EEE">
      <w:pPr>
        <w:ind w:left="1985" w:hanging="1985"/>
        <w:rPr>
          <w:rFonts w:cstheme="minorHAnsi"/>
          <w:b/>
          <w:bCs/>
          <w:szCs w:val="24"/>
        </w:rPr>
      </w:pPr>
      <w:r w:rsidRPr="00A77F53">
        <w:rPr>
          <w:rFonts w:cstheme="minorHAnsi"/>
          <w:b/>
          <w:bCs/>
          <w:szCs w:val="24"/>
        </w:rPr>
        <w:t>Agenda Item:</w:t>
      </w:r>
      <w:r w:rsidRPr="00A77F53">
        <w:rPr>
          <w:rFonts w:cstheme="minorHAnsi"/>
          <w:b/>
          <w:bCs/>
          <w:szCs w:val="24"/>
        </w:rPr>
        <w:tab/>
      </w:r>
      <w:r w:rsidR="002A1111" w:rsidRPr="002A1111">
        <w:rPr>
          <w:rFonts w:cstheme="minorHAnsi" w:hint="eastAsia"/>
          <w:b/>
          <w:bCs/>
          <w:szCs w:val="24"/>
        </w:rPr>
        <w:t>5.1.1.5.1</w:t>
      </w:r>
    </w:p>
    <w:p w:rsidR="0034111C" w:rsidRPr="00A77F53" w:rsidRDefault="0034111C" w:rsidP="00A37145">
      <w:pPr>
        <w:ind w:left="1985" w:hanging="1985"/>
        <w:rPr>
          <w:rFonts w:cstheme="minorHAnsi"/>
          <w:b/>
          <w:bCs/>
          <w:szCs w:val="24"/>
        </w:rPr>
      </w:pPr>
      <w:r w:rsidRPr="00A77F53">
        <w:rPr>
          <w:rFonts w:cstheme="minorHAnsi"/>
          <w:b/>
          <w:bCs/>
          <w:szCs w:val="24"/>
        </w:rPr>
        <w:t>Source:</w:t>
      </w:r>
      <w:r w:rsidRPr="00A77F53">
        <w:rPr>
          <w:rFonts w:cstheme="minorHAnsi"/>
          <w:b/>
          <w:bCs/>
          <w:szCs w:val="24"/>
        </w:rPr>
        <w:tab/>
      </w:r>
      <w:r w:rsidR="002E58D2" w:rsidRPr="00A77F53">
        <w:rPr>
          <w:rFonts w:cstheme="minorHAnsi"/>
          <w:b/>
          <w:bCs/>
          <w:szCs w:val="24"/>
        </w:rPr>
        <w:t>MediaTek Inc.</w:t>
      </w:r>
    </w:p>
    <w:p w:rsidR="00174EC2" w:rsidRPr="00A77F53" w:rsidRDefault="0034111C" w:rsidP="000475B3">
      <w:pPr>
        <w:ind w:left="1985" w:hanging="1985"/>
        <w:rPr>
          <w:rFonts w:cstheme="minorHAnsi"/>
          <w:b/>
          <w:bCs/>
          <w:szCs w:val="24"/>
        </w:rPr>
      </w:pPr>
      <w:r w:rsidRPr="00A77F53">
        <w:rPr>
          <w:rFonts w:cstheme="minorHAnsi"/>
          <w:b/>
          <w:bCs/>
          <w:szCs w:val="24"/>
        </w:rPr>
        <w:t>Title:</w:t>
      </w:r>
      <w:r w:rsidRPr="00A77F53">
        <w:rPr>
          <w:rFonts w:cstheme="minorHAnsi"/>
          <w:b/>
          <w:bCs/>
          <w:szCs w:val="24"/>
        </w:rPr>
        <w:tab/>
      </w:r>
      <w:r w:rsidR="002A1111" w:rsidRPr="002A1111">
        <w:rPr>
          <w:rFonts w:cstheme="minorHAnsi"/>
          <w:b/>
          <w:szCs w:val="24"/>
        </w:rPr>
        <w:t>Discuss</w:t>
      </w:r>
      <w:r w:rsidR="002A1111">
        <w:rPr>
          <w:rFonts w:cstheme="minorHAnsi"/>
          <w:b/>
          <w:szCs w:val="24"/>
        </w:rPr>
        <w:t xml:space="preserve">ion on </w:t>
      </w:r>
      <w:r w:rsidR="00BF2EAF">
        <w:rPr>
          <w:rFonts w:cstheme="minorHAnsi"/>
          <w:b/>
          <w:szCs w:val="24"/>
        </w:rPr>
        <w:t>NR-U CCA models with DRX</w:t>
      </w:r>
      <w:r w:rsidR="00DB4B1A" w:rsidRPr="00A77F53">
        <w:rPr>
          <w:rFonts w:cstheme="minorHAnsi"/>
          <w:b/>
          <w:szCs w:val="24"/>
        </w:rPr>
        <w:t xml:space="preserve">  </w:t>
      </w:r>
    </w:p>
    <w:p w:rsidR="0034111C" w:rsidRPr="00A77F53" w:rsidRDefault="0034111C" w:rsidP="007A4FCF">
      <w:pPr>
        <w:ind w:left="1985" w:hanging="1985"/>
        <w:rPr>
          <w:rFonts w:cstheme="minorHAnsi"/>
          <w:b/>
          <w:bCs/>
          <w:szCs w:val="24"/>
        </w:rPr>
      </w:pPr>
      <w:r w:rsidRPr="00A77F53">
        <w:rPr>
          <w:rFonts w:cstheme="minorHAnsi"/>
          <w:b/>
          <w:bCs/>
          <w:szCs w:val="24"/>
        </w:rPr>
        <w:t>Document for:</w:t>
      </w:r>
      <w:r w:rsidRPr="00A77F53">
        <w:rPr>
          <w:rFonts w:cstheme="minorHAnsi"/>
          <w:b/>
          <w:bCs/>
          <w:szCs w:val="24"/>
        </w:rPr>
        <w:tab/>
      </w:r>
      <w:r w:rsidRPr="00A77F53">
        <w:rPr>
          <w:rFonts w:cstheme="minorHAnsi"/>
          <w:b/>
          <w:bCs/>
          <w:szCs w:val="24"/>
        </w:rPr>
        <w:tab/>
      </w:r>
      <w:r w:rsidR="00E85D04" w:rsidRPr="00A77F53">
        <w:rPr>
          <w:rFonts w:cstheme="minorHAnsi"/>
          <w:b/>
          <w:bCs/>
          <w:szCs w:val="24"/>
        </w:rPr>
        <w:t>Discussion</w:t>
      </w:r>
    </w:p>
    <w:p w:rsidR="00F912E7" w:rsidRPr="00F912E7" w:rsidRDefault="00EE7FA7" w:rsidP="00F912E7">
      <w:pPr>
        <w:pStyle w:val="1"/>
        <w:numPr>
          <w:ilvl w:val="0"/>
          <w:numId w:val="1"/>
        </w:numPr>
        <w:rPr>
          <w:rFonts w:ascii="Calibri" w:hAnsi="Calibri"/>
          <w:lang w:eastAsia="zh-CN"/>
        </w:rPr>
      </w:pPr>
      <w:r w:rsidRPr="000C45FD">
        <w:rPr>
          <w:rFonts w:ascii="Calibri" w:hAnsi="Calibri"/>
        </w:rPr>
        <w:t>Introduction</w:t>
      </w:r>
    </w:p>
    <w:p w:rsidR="00111F1F" w:rsidRPr="00A90B41" w:rsidRDefault="00111F1F" w:rsidP="009D25B4">
      <w:pPr>
        <w:jc w:val="both"/>
        <w:rPr>
          <w:rFonts w:ascii="Times New Roman" w:eastAsia="新細明體" w:hAnsi="Times New Roman" w:cs="Times New Roman"/>
          <w:sz w:val="20"/>
          <w:szCs w:val="20"/>
          <w:shd w:val="pct15" w:color="auto" w:fill="FFFFFF"/>
          <w:lang w:val="en-GB"/>
        </w:rPr>
      </w:pPr>
      <w:r w:rsidRPr="00111F1F">
        <w:rPr>
          <w:rFonts w:eastAsia="新細明體" w:hint="eastAsia"/>
          <w:iCs/>
          <w:sz w:val="20"/>
        </w:rPr>
        <w:t>I</w:t>
      </w:r>
      <w:r>
        <w:rPr>
          <w:rFonts w:eastAsia="新細明體" w:hint="eastAsia"/>
          <w:iCs/>
          <w:sz w:val="20"/>
        </w:rPr>
        <w:t>n the last meeting, the CCA model with DRX to avoid Lmax has been discussed [</w:t>
      </w:r>
      <w:r>
        <w:rPr>
          <w:rFonts w:eastAsia="新細明體"/>
          <w:iCs/>
          <w:sz w:val="20"/>
        </w:rPr>
        <w:t>1</w:t>
      </w:r>
      <w:r>
        <w:rPr>
          <w:rFonts w:eastAsia="新細明體" w:hint="eastAsia"/>
          <w:iCs/>
          <w:sz w:val="20"/>
        </w:rPr>
        <w:t>]</w:t>
      </w:r>
      <w:r>
        <w:rPr>
          <w:rFonts w:eastAsia="新細明體"/>
          <w:iCs/>
          <w:sz w:val="20"/>
        </w:rPr>
        <w:t xml:space="preserve">. In this paper, our view on the CCA model with DRX is provided. </w:t>
      </w:r>
    </w:p>
    <w:p w:rsidR="00111F1F" w:rsidRPr="00111F1F" w:rsidRDefault="00BF2EAF" w:rsidP="00111F1F">
      <w:pPr>
        <w:pStyle w:val="1"/>
        <w:numPr>
          <w:ilvl w:val="0"/>
          <w:numId w:val="1"/>
        </w:numPr>
        <w:rPr>
          <w:rFonts w:ascii="Calibri" w:hAnsi="Calibri"/>
        </w:rPr>
      </w:pPr>
      <w:r w:rsidRPr="00BF2EAF">
        <w:rPr>
          <w:rFonts w:ascii="Calibri" w:hAnsi="Calibri"/>
        </w:rPr>
        <w:t>CCA models with DRX</w:t>
      </w:r>
    </w:p>
    <w:p w:rsidR="00111F1F" w:rsidRDefault="00111F1F" w:rsidP="009204AD">
      <w:pPr>
        <w:jc w:val="both"/>
        <w:rPr>
          <w:rFonts w:ascii="Times New Roman" w:eastAsia="新細明體" w:hAnsi="Times New Roman" w:cs="Times New Roman"/>
          <w:sz w:val="20"/>
          <w:szCs w:val="20"/>
          <w:shd w:val="pct15" w:color="auto" w:fill="FFFFFF"/>
        </w:rPr>
      </w:pPr>
      <w:r w:rsidRPr="00111F1F">
        <w:rPr>
          <w:rFonts w:eastAsia="新細明體" w:hint="eastAsia"/>
          <w:iCs/>
          <w:sz w:val="20"/>
        </w:rPr>
        <w:t>I</w:t>
      </w:r>
      <w:r>
        <w:rPr>
          <w:rFonts w:eastAsia="新細明體" w:hint="eastAsia"/>
          <w:iCs/>
          <w:sz w:val="20"/>
        </w:rPr>
        <w:t>n the last meeting, the CCA model with DRX to avoid Lmax has been discussed [</w:t>
      </w:r>
      <w:r>
        <w:rPr>
          <w:rFonts w:eastAsia="新細明體"/>
          <w:iCs/>
          <w:sz w:val="20"/>
        </w:rPr>
        <w:t>1</w:t>
      </w:r>
      <w:r>
        <w:rPr>
          <w:rFonts w:eastAsia="新細明體" w:hint="eastAsia"/>
          <w:iCs/>
          <w:sz w:val="20"/>
        </w:rPr>
        <w:t>]</w:t>
      </w:r>
      <w:r>
        <w:rPr>
          <w:rFonts w:eastAsia="新細明體"/>
          <w:iCs/>
          <w:sz w:val="20"/>
        </w:rPr>
        <w:t xml:space="preserve"> as the following: </w:t>
      </w:r>
    </w:p>
    <w:p w:rsidR="00111F1F" w:rsidRPr="00111F1F" w:rsidRDefault="00111F1F" w:rsidP="009204AD">
      <w:pPr>
        <w:jc w:val="both"/>
        <w:rPr>
          <w:rFonts w:ascii="Times New Roman" w:eastAsia="新細明體" w:hAnsi="Times New Roman" w:cs="Times New Roman"/>
          <w:sz w:val="20"/>
          <w:szCs w:val="20"/>
          <w:shd w:val="pct15" w:color="auto" w:fill="FFFFFF"/>
        </w:rPr>
      </w:pPr>
    </w:p>
    <w:p w:rsidR="00111F1F" w:rsidRPr="00111F1F" w:rsidRDefault="00111F1F" w:rsidP="00111F1F">
      <w:pPr>
        <w:rPr>
          <w:b/>
          <w:sz w:val="20"/>
          <w:u w:val="single"/>
          <w:lang w:eastAsia="ko-KR"/>
        </w:rPr>
      </w:pPr>
      <w:r w:rsidRPr="00111F1F">
        <w:rPr>
          <w:b/>
          <w:sz w:val="20"/>
          <w:u w:val="single"/>
          <w:lang w:eastAsia="ko-KR"/>
        </w:rPr>
        <w:t>Avoiding L</w:t>
      </w:r>
      <w:r w:rsidR="008B5863">
        <w:rPr>
          <w:b/>
          <w:sz w:val="20"/>
          <w:u w:val="single"/>
          <w:lang w:eastAsia="ko-KR"/>
        </w:rPr>
        <w:t>max</w:t>
      </w:r>
      <w:r w:rsidRPr="00111F1F">
        <w:rPr>
          <w:b/>
          <w:sz w:val="20"/>
          <w:u w:val="single"/>
          <w:lang w:eastAsia="ko-KR"/>
        </w:rPr>
        <w:t xml:space="preserve"> in test cases with DRX</w:t>
      </w:r>
    </w:p>
    <w:p w:rsidR="00111F1F" w:rsidRPr="00111F1F" w:rsidRDefault="00111F1F" w:rsidP="00111F1F">
      <w:pPr>
        <w:pStyle w:val="af5"/>
        <w:numPr>
          <w:ilvl w:val="0"/>
          <w:numId w:val="9"/>
        </w:numPr>
        <w:overflowPunct w:val="0"/>
        <w:autoSpaceDE w:val="0"/>
        <w:autoSpaceDN w:val="0"/>
        <w:adjustRightInd w:val="0"/>
        <w:spacing w:after="180"/>
        <w:ind w:left="936"/>
        <w:contextualSpacing w:val="0"/>
        <w:textAlignment w:val="baseline"/>
        <w:rPr>
          <w:iCs/>
          <w:sz w:val="20"/>
        </w:rPr>
      </w:pPr>
      <w:r w:rsidRPr="00111F1F">
        <w:rPr>
          <w:iCs/>
          <w:sz w:val="20"/>
        </w:rPr>
        <w:t>Option 1: L increases on per DRX basis. At the end of each DRX cycle, if one of SMTC is not successfully transmitted during this DRX cycle, increase L by 1.</w:t>
      </w:r>
    </w:p>
    <w:p w:rsidR="00111F1F" w:rsidRPr="00111F1F" w:rsidRDefault="00111F1F" w:rsidP="00111F1F">
      <w:pPr>
        <w:pStyle w:val="af5"/>
        <w:numPr>
          <w:ilvl w:val="0"/>
          <w:numId w:val="9"/>
        </w:numPr>
        <w:overflowPunct w:val="0"/>
        <w:autoSpaceDE w:val="0"/>
        <w:autoSpaceDN w:val="0"/>
        <w:adjustRightInd w:val="0"/>
        <w:spacing w:after="180"/>
        <w:ind w:left="936"/>
        <w:contextualSpacing w:val="0"/>
        <w:textAlignment w:val="baseline"/>
        <w:rPr>
          <w:iCs/>
          <w:sz w:val="20"/>
        </w:rPr>
      </w:pPr>
      <w:r w:rsidRPr="00111F1F">
        <w:rPr>
          <w:iCs/>
          <w:sz w:val="20"/>
        </w:rPr>
        <w:t xml:space="preserve">Option 2: Improvements on CCA model for DRX might be still be discussed, while solution is not reached set the following parameters for test cases with DRX: </w:t>
      </w:r>
    </w:p>
    <w:p w:rsidR="00111F1F" w:rsidRPr="00111F1F" w:rsidRDefault="00111F1F" w:rsidP="00111F1F">
      <w:pPr>
        <w:pStyle w:val="af5"/>
        <w:numPr>
          <w:ilvl w:val="1"/>
          <w:numId w:val="9"/>
        </w:numPr>
        <w:overflowPunct w:val="0"/>
        <w:autoSpaceDE w:val="0"/>
        <w:autoSpaceDN w:val="0"/>
        <w:adjustRightInd w:val="0"/>
        <w:spacing w:after="180"/>
        <w:ind w:left="1656"/>
        <w:contextualSpacing w:val="0"/>
        <w:textAlignment w:val="baseline"/>
        <w:rPr>
          <w:iCs/>
          <w:sz w:val="20"/>
        </w:rPr>
      </w:pPr>
      <w:r w:rsidRPr="00111F1F">
        <w:rPr>
          <w:iCs/>
          <w:sz w:val="20"/>
        </w:rPr>
        <w:t>L</w:t>
      </w:r>
      <w:r w:rsidRPr="00111F1F">
        <w:rPr>
          <w:iCs/>
          <w:sz w:val="20"/>
          <w:vertAlign w:val="subscript"/>
        </w:rPr>
        <w:t>CCA_DL</w:t>
      </w:r>
      <w:r w:rsidRPr="00111F1F">
        <w:rPr>
          <w:iCs/>
          <w:sz w:val="20"/>
        </w:rPr>
        <w:t>=L</w:t>
      </w:r>
      <w:r w:rsidRPr="00111F1F">
        <w:rPr>
          <w:iCs/>
          <w:sz w:val="20"/>
          <w:vertAlign w:val="subscript"/>
        </w:rPr>
        <w:t>CCA_UL</w:t>
      </w:r>
      <w:r w:rsidRPr="00111F1F">
        <w:rPr>
          <w:iCs/>
          <w:sz w:val="20"/>
        </w:rPr>
        <w:t>=Not configured</w:t>
      </w:r>
    </w:p>
    <w:p w:rsidR="00111F1F" w:rsidRPr="00EB13AF" w:rsidRDefault="00111F1F" w:rsidP="00EB13AF">
      <w:pPr>
        <w:pStyle w:val="af5"/>
        <w:numPr>
          <w:ilvl w:val="1"/>
          <w:numId w:val="9"/>
        </w:numPr>
        <w:overflowPunct w:val="0"/>
        <w:autoSpaceDE w:val="0"/>
        <w:autoSpaceDN w:val="0"/>
        <w:adjustRightInd w:val="0"/>
        <w:spacing w:after="180"/>
        <w:ind w:left="1656"/>
        <w:contextualSpacing w:val="0"/>
        <w:textAlignment w:val="baseline"/>
        <w:rPr>
          <w:iCs/>
          <w:sz w:val="20"/>
        </w:rPr>
      </w:pPr>
      <w:r w:rsidRPr="00111F1F">
        <w:rPr>
          <w:iCs/>
          <w:sz w:val="20"/>
        </w:rPr>
        <w:t>W</w:t>
      </w:r>
      <w:r w:rsidRPr="00111F1F">
        <w:rPr>
          <w:iCs/>
          <w:sz w:val="20"/>
          <w:vertAlign w:val="subscript"/>
        </w:rPr>
        <w:t>CCA_DL</w:t>
      </w:r>
      <w:r w:rsidRPr="00111F1F">
        <w:rPr>
          <w:iCs/>
          <w:sz w:val="20"/>
        </w:rPr>
        <w:t>=W</w:t>
      </w:r>
      <w:r w:rsidRPr="00111F1F">
        <w:rPr>
          <w:iCs/>
          <w:sz w:val="20"/>
          <w:vertAlign w:val="subscript"/>
        </w:rPr>
        <w:t>CCA_UL</w:t>
      </w:r>
      <w:r w:rsidRPr="00111F1F">
        <w:rPr>
          <w:iCs/>
          <w:sz w:val="20"/>
        </w:rPr>
        <w:t>=Not configured</w:t>
      </w:r>
    </w:p>
    <w:p w:rsidR="00111F1F" w:rsidRDefault="00C3566E" w:rsidP="009204AD">
      <w:pPr>
        <w:jc w:val="both"/>
        <w:rPr>
          <w:rFonts w:eastAsia="新細明體"/>
          <w:iCs/>
          <w:sz w:val="20"/>
        </w:rPr>
      </w:pPr>
      <w:r>
        <w:rPr>
          <w:rFonts w:eastAsia="新細明體"/>
          <w:iCs/>
          <w:sz w:val="20"/>
        </w:rPr>
        <w:t>In our understanding, Option 1 can avoid the exceeding on</w:t>
      </w:r>
      <w:r>
        <w:rPr>
          <w:rFonts w:eastAsia="新細明體" w:hint="eastAsia"/>
          <w:iCs/>
          <w:sz w:val="20"/>
        </w:rPr>
        <w:t xml:space="preserve"> </w:t>
      </w:r>
      <w:r>
        <w:rPr>
          <w:rFonts w:eastAsia="新細明體"/>
          <w:iCs/>
          <w:sz w:val="20"/>
        </w:rPr>
        <w:t>Lmax but the concern raised is it will</w:t>
      </w:r>
      <w:r w:rsidR="001E18EE">
        <w:rPr>
          <w:rFonts w:eastAsia="新細明體"/>
          <w:iCs/>
          <w:sz w:val="20"/>
        </w:rPr>
        <w:t xml:space="preserve"> lead to the high artificial CCA</w:t>
      </w:r>
      <w:r w:rsidR="008B5863">
        <w:rPr>
          <w:rFonts w:eastAsia="新細明體"/>
          <w:iCs/>
          <w:sz w:val="20"/>
        </w:rPr>
        <w:t xml:space="preserve"> success rate. Option 2 could not</w:t>
      </w:r>
      <w:r>
        <w:rPr>
          <w:rFonts w:eastAsia="新細明體"/>
          <w:iCs/>
          <w:sz w:val="20"/>
        </w:rPr>
        <w:t xml:space="preserve"> avoid the </w:t>
      </w:r>
      <w:r w:rsidR="00B82067">
        <w:rPr>
          <w:rFonts w:eastAsia="新細明體"/>
          <w:iCs/>
          <w:sz w:val="20"/>
        </w:rPr>
        <w:t>exceeding on</w:t>
      </w:r>
      <w:r w:rsidR="00B82067">
        <w:rPr>
          <w:rFonts w:eastAsia="新細明體" w:hint="eastAsia"/>
          <w:iCs/>
          <w:sz w:val="20"/>
        </w:rPr>
        <w:t xml:space="preserve"> </w:t>
      </w:r>
      <w:r w:rsidR="00B82067">
        <w:rPr>
          <w:rFonts w:eastAsia="新細明體"/>
          <w:iCs/>
          <w:sz w:val="20"/>
        </w:rPr>
        <w:t xml:space="preserve">Lmax, which will </w:t>
      </w:r>
      <w:r w:rsidR="004B2ACF">
        <w:rPr>
          <w:rFonts w:eastAsia="新細明體"/>
          <w:iCs/>
          <w:sz w:val="20"/>
        </w:rPr>
        <w:t xml:space="preserve">either </w:t>
      </w:r>
      <w:r w:rsidR="00B82067">
        <w:rPr>
          <w:rFonts w:eastAsia="新細明體"/>
          <w:iCs/>
          <w:sz w:val="20"/>
        </w:rPr>
        <w:t xml:space="preserve">lead to longer time to restart/complete RRM tests or </w:t>
      </w:r>
      <w:r w:rsidR="004B2ACF">
        <w:rPr>
          <w:rFonts w:eastAsia="新細明體"/>
          <w:iCs/>
          <w:sz w:val="20"/>
        </w:rPr>
        <w:t xml:space="preserve">lead to </w:t>
      </w:r>
      <w:r w:rsidR="00B82067">
        <w:rPr>
          <w:rFonts w:eastAsia="新細明體"/>
          <w:iCs/>
          <w:sz w:val="20"/>
        </w:rPr>
        <w:t>different UE behavior</w:t>
      </w:r>
      <w:r w:rsidR="0008119F">
        <w:rPr>
          <w:rFonts w:eastAsia="新細明體"/>
          <w:iCs/>
          <w:sz w:val="20"/>
        </w:rPr>
        <w:t>s</w:t>
      </w:r>
      <w:r w:rsidR="008B5863">
        <w:rPr>
          <w:rFonts w:eastAsia="新細明體"/>
          <w:iCs/>
          <w:sz w:val="20"/>
        </w:rPr>
        <w:t xml:space="preserve">. Some examples are listed below for reference: </w:t>
      </w:r>
      <w:r w:rsidR="00B82067">
        <w:rPr>
          <w:rFonts w:eastAsia="新細明體"/>
          <w:iCs/>
          <w:sz w:val="20"/>
        </w:rPr>
        <w:t xml:space="preserve"> </w:t>
      </w:r>
    </w:p>
    <w:p w:rsidR="00B82067" w:rsidRPr="008B5863" w:rsidRDefault="00B82067" w:rsidP="009204AD">
      <w:pPr>
        <w:jc w:val="both"/>
        <w:rPr>
          <w:rFonts w:eastAsia="新細明體"/>
          <w:iCs/>
          <w:sz w:val="20"/>
        </w:rPr>
      </w:pPr>
    </w:p>
    <w:p w:rsidR="00B82067" w:rsidRPr="00B82067" w:rsidRDefault="00B82067" w:rsidP="00B82067">
      <w:pPr>
        <w:pStyle w:val="af5"/>
        <w:numPr>
          <w:ilvl w:val="0"/>
          <w:numId w:val="45"/>
        </w:numPr>
        <w:jc w:val="both"/>
        <w:rPr>
          <w:rFonts w:ascii="Times New Roman" w:eastAsia="新細明體" w:hAnsi="Times New Roman" w:cs="Times New Roman"/>
          <w:iCs/>
          <w:sz w:val="20"/>
        </w:rPr>
      </w:pPr>
      <w:r w:rsidRPr="00B82067">
        <w:rPr>
          <w:rFonts w:ascii="Times New Roman" w:eastAsia="新細明體" w:hAnsi="Times New Roman" w:cs="Times New Roman"/>
          <w:iCs/>
          <w:sz w:val="20"/>
          <w:lang w:eastAsia="zh-TW"/>
        </w:rPr>
        <w:t>In L3 Measurement procedure</w:t>
      </w:r>
      <w:r>
        <w:rPr>
          <w:rFonts w:ascii="Times New Roman" w:eastAsia="新細明體" w:hAnsi="Times New Roman" w:cs="Times New Roman"/>
          <w:iCs/>
          <w:sz w:val="20"/>
          <w:lang w:eastAsia="zh-TW"/>
        </w:rPr>
        <w:t xml:space="preserve"> (clause 9.2A, </w:t>
      </w:r>
      <w:r>
        <w:rPr>
          <w:rFonts w:ascii="Times New Roman" w:eastAsia="新細明體" w:hAnsi="Times New Roman" w:cs="Times New Roman" w:hint="eastAsia"/>
          <w:iCs/>
          <w:sz w:val="20"/>
          <w:lang w:eastAsia="zh-TW"/>
        </w:rPr>
        <w:t xml:space="preserve">9.3A </w:t>
      </w:r>
      <w:r>
        <w:rPr>
          <w:rFonts w:ascii="Times New Roman" w:eastAsia="新細明體" w:hAnsi="Times New Roman" w:cs="Times New Roman"/>
          <w:iCs/>
          <w:sz w:val="20"/>
          <w:lang w:eastAsia="zh-TW"/>
        </w:rPr>
        <w:t>of TS 38.133 R16)</w:t>
      </w:r>
      <w:r w:rsidRPr="00B82067">
        <w:rPr>
          <w:rFonts w:ascii="Times New Roman" w:eastAsia="新細明體" w:hAnsi="Times New Roman" w:cs="Times New Roman"/>
          <w:iCs/>
          <w:sz w:val="20"/>
          <w:lang w:eastAsia="zh-TW"/>
        </w:rPr>
        <w:t>,</w:t>
      </w:r>
      <w:r w:rsidRPr="00B82067">
        <w:rPr>
          <w:rFonts w:ascii="Times New Roman" w:eastAsia="新細明體" w:hAnsi="Times New Roman" w:cs="Times New Roman"/>
          <w:iCs/>
          <w:sz w:val="20"/>
          <w:lang w:eastAsia="zh-TW"/>
        </w:rPr>
        <w:tab/>
      </w:r>
    </w:p>
    <w:p w:rsidR="00B82067" w:rsidRPr="00EB13AF" w:rsidRDefault="00B82067" w:rsidP="00B82067">
      <w:pPr>
        <w:pStyle w:val="af5"/>
        <w:numPr>
          <w:ilvl w:val="1"/>
          <w:numId w:val="45"/>
        </w:numPr>
        <w:jc w:val="both"/>
        <w:rPr>
          <w:rFonts w:ascii="Times New Roman" w:eastAsia="新細明體" w:hAnsi="Times New Roman" w:cs="Times New Roman"/>
          <w:i/>
          <w:iCs/>
          <w:sz w:val="20"/>
          <w:szCs w:val="20"/>
        </w:rPr>
      </w:pPr>
      <w:r w:rsidRPr="00EB13AF">
        <w:rPr>
          <w:rFonts w:ascii="Times New Roman" w:hAnsi="Times New Roman" w:cs="Times New Roman"/>
          <w:i/>
          <w:sz w:val="20"/>
          <w:szCs w:val="20"/>
          <w:lang w:val="x-none"/>
        </w:rPr>
        <w:t xml:space="preserve">Upon </w:t>
      </w:r>
      <w:r w:rsidRPr="00EB13AF">
        <w:rPr>
          <w:rFonts w:ascii="Times New Roman" w:hAnsi="Times New Roman" w:cs="Times New Roman"/>
          <w:i/>
          <w:sz w:val="20"/>
          <w:szCs w:val="20"/>
        </w:rPr>
        <w:t>exceeding</w:t>
      </w:r>
      <w:r w:rsidRPr="00EB13AF">
        <w:rPr>
          <w:rFonts w:ascii="Times New Roman" w:hAnsi="Times New Roman" w:cs="Times New Roman"/>
          <w:i/>
          <w:sz w:val="20"/>
          <w:szCs w:val="20"/>
          <w:lang w:eastAsia="ko-KR"/>
        </w:rPr>
        <w:t xml:space="preserve"> L</w:t>
      </w:r>
      <w:r w:rsidRPr="00EB13AF">
        <w:rPr>
          <w:rFonts w:ascii="Times New Roman" w:hAnsi="Times New Roman" w:cs="Times New Roman"/>
          <w:i/>
          <w:sz w:val="20"/>
          <w:szCs w:val="20"/>
          <w:vertAlign w:val="subscript"/>
          <w:lang w:eastAsia="ko-KR"/>
        </w:rPr>
        <w:t>PSS/SSS,max</w:t>
      </w:r>
      <w:r w:rsidRPr="00EB13AF">
        <w:rPr>
          <w:rFonts w:ascii="Times New Roman" w:hAnsi="Times New Roman" w:cs="Times New Roman"/>
          <w:i/>
          <w:sz w:val="20"/>
          <w:szCs w:val="20"/>
          <w:lang w:val="x-none"/>
        </w:rPr>
        <w:t xml:space="preserve">, the </w:t>
      </w:r>
      <w:r w:rsidRPr="00EB13AF">
        <w:rPr>
          <w:rFonts w:ascii="Times New Roman" w:hAnsi="Times New Roman" w:cs="Times New Roman"/>
          <w:i/>
          <w:sz w:val="20"/>
          <w:szCs w:val="20"/>
        </w:rPr>
        <w:t>UE is not required to meet the requirements for PSS/SSS detection.</w:t>
      </w:r>
    </w:p>
    <w:p w:rsidR="00B82067" w:rsidRPr="00EB13AF" w:rsidRDefault="00B82067" w:rsidP="00B82067">
      <w:pPr>
        <w:pStyle w:val="af5"/>
        <w:numPr>
          <w:ilvl w:val="1"/>
          <w:numId w:val="45"/>
        </w:numPr>
        <w:jc w:val="both"/>
        <w:rPr>
          <w:rFonts w:ascii="Times New Roman" w:eastAsia="新細明體" w:hAnsi="Times New Roman" w:cs="Times New Roman"/>
          <w:i/>
          <w:iCs/>
          <w:sz w:val="20"/>
          <w:szCs w:val="20"/>
        </w:rPr>
      </w:pPr>
      <w:r w:rsidRPr="00EB13AF">
        <w:rPr>
          <w:rFonts w:ascii="Times New Roman" w:hAnsi="Times New Roman" w:cs="Times New Roman"/>
          <w:i/>
          <w:sz w:val="20"/>
          <w:szCs w:val="20"/>
          <w:lang w:val="x-none"/>
        </w:rPr>
        <w:t xml:space="preserve">Upon </w:t>
      </w:r>
      <w:r w:rsidRPr="00EB13AF">
        <w:rPr>
          <w:rFonts w:ascii="Times New Roman" w:hAnsi="Times New Roman" w:cs="Times New Roman"/>
          <w:i/>
          <w:sz w:val="20"/>
          <w:szCs w:val="20"/>
        </w:rPr>
        <w:t>exceeding</w:t>
      </w:r>
      <w:r w:rsidRPr="00EB13AF">
        <w:rPr>
          <w:rFonts w:ascii="Times New Roman" w:hAnsi="Times New Roman" w:cs="Times New Roman"/>
          <w:i/>
          <w:sz w:val="20"/>
          <w:szCs w:val="20"/>
          <w:lang w:val="x-none"/>
        </w:rPr>
        <w:t xml:space="preserve"> </w:t>
      </w:r>
      <w:r w:rsidRPr="00EB13AF">
        <w:rPr>
          <w:rFonts w:ascii="Times New Roman" w:hAnsi="Times New Roman" w:cs="Times New Roman"/>
          <w:i/>
          <w:sz w:val="20"/>
          <w:szCs w:val="20"/>
          <w:lang w:eastAsia="ko-KR"/>
        </w:rPr>
        <w:t>L</w:t>
      </w:r>
      <w:r w:rsidRPr="00EB13AF">
        <w:rPr>
          <w:rFonts w:ascii="Times New Roman" w:hAnsi="Times New Roman" w:cs="Times New Roman"/>
          <w:i/>
          <w:sz w:val="20"/>
          <w:szCs w:val="20"/>
          <w:vertAlign w:val="subscript"/>
          <w:lang w:eastAsia="ko-KR"/>
        </w:rPr>
        <w:t>ind,max</w:t>
      </w:r>
      <w:r w:rsidRPr="00EB13AF">
        <w:rPr>
          <w:rFonts w:ascii="Times New Roman" w:hAnsi="Times New Roman" w:cs="Times New Roman"/>
          <w:i/>
          <w:sz w:val="20"/>
          <w:szCs w:val="20"/>
          <w:lang w:val="x-none"/>
        </w:rPr>
        <w:t xml:space="preserve"> </w:t>
      </w:r>
      <w:r w:rsidRPr="00EB13AF">
        <w:rPr>
          <w:rFonts w:ascii="Times New Roman" w:hAnsi="Times New Roman" w:cs="Times New Roman"/>
          <w:i/>
          <w:sz w:val="20"/>
          <w:szCs w:val="20"/>
        </w:rPr>
        <w:t>over the period of time T</w:t>
      </w:r>
      <w:r w:rsidRPr="00EB13AF">
        <w:rPr>
          <w:rFonts w:ascii="Times New Roman" w:hAnsi="Times New Roman" w:cs="Times New Roman"/>
          <w:i/>
          <w:sz w:val="20"/>
          <w:szCs w:val="20"/>
          <w:vertAlign w:val="subscript"/>
        </w:rPr>
        <w:t>SSB_time_index_intra_CCA</w:t>
      </w:r>
      <w:r w:rsidRPr="00EB13AF">
        <w:rPr>
          <w:rFonts w:ascii="Times New Roman" w:hAnsi="Times New Roman" w:cs="Times New Roman"/>
          <w:i/>
          <w:sz w:val="20"/>
          <w:szCs w:val="20"/>
          <w:lang w:val="x-none"/>
        </w:rPr>
        <w:t>, the UE has to restart the time index detection procedure.</w:t>
      </w:r>
    </w:p>
    <w:p w:rsidR="00B82067" w:rsidRPr="00EB13AF" w:rsidRDefault="00B82067" w:rsidP="00B82067">
      <w:pPr>
        <w:pStyle w:val="af5"/>
        <w:numPr>
          <w:ilvl w:val="1"/>
          <w:numId w:val="45"/>
        </w:numPr>
        <w:jc w:val="both"/>
        <w:rPr>
          <w:rFonts w:ascii="Times New Roman" w:eastAsia="新細明體" w:hAnsi="Times New Roman" w:cs="Times New Roman"/>
          <w:i/>
          <w:iCs/>
          <w:sz w:val="20"/>
          <w:szCs w:val="20"/>
        </w:rPr>
      </w:pPr>
      <w:r w:rsidRPr="00EB13AF">
        <w:rPr>
          <w:rFonts w:ascii="Times New Roman" w:hAnsi="Times New Roman" w:cs="Times New Roman"/>
          <w:i/>
          <w:sz w:val="20"/>
          <w:szCs w:val="20"/>
          <w:lang w:val="x-none"/>
        </w:rPr>
        <w:t xml:space="preserve">Upon </w:t>
      </w:r>
      <w:r w:rsidRPr="00EB13AF">
        <w:rPr>
          <w:rFonts w:ascii="Times New Roman" w:hAnsi="Times New Roman" w:cs="Times New Roman"/>
          <w:i/>
          <w:sz w:val="20"/>
          <w:szCs w:val="20"/>
        </w:rPr>
        <w:t>exceeding</w:t>
      </w:r>
      <w:r w:rsidRPr="00EB13AF">
        <w:rPr>
          <w:rFonts w:ascii="Times New Roman" w:hAnsi="Times New Roman" w:cs="Times New Roman"/>
          <w:i/>
          <w:sz w:val="20"/>
          <w:szCs w:val="20"/>
          <w:lang w:val="x-none"/>
        </w:rPr>
        <w:t xml:space="preserve"> </w:t>
      </w:r>
      <w:r w:rsidRPr="00EB13AF">
        <w:rPr>
          <w:rFonts w:ascii="Times New Roman" w:hAnsi="Times New Roman" w:cs="Times New Roman"/>
          <w:i/>
          <w:sz w:val="20"/>
          <w:szCs w:val="20"/>
          <w:lang w:eastAsia="ko-KR"/>
        </w:rPr>
        <w:t>L</w:t>
      </w:r>
      <w:r w:rsidRPr="00EB13AF">
        <w:rPr>
          <w:rFonts w:ascii="Times New Roman" w:hAnsi="Times New Roman" w:cs="Times New Roman"/>
          <w:i/>
          <w:sz w:val="20"/>
          <w:szCs w:val="20"/>
          <w:vertAlign w:val="subscript"/>
          <w:lang w:eastAsia="ko-KR"/>
        </w:rPr>
        <w:t>ind,deact,max</w:t>
      </w:r>
      <w:r w:rsidRPr="00EB13AF">
        <w:rPr>
          <w:rFonts w:ascii="Times New Roman" w:hAnsi="Times New Roman" w:cs="Times New Roman"/>
          <w:i/>
          <w:sz w:val="20"/>
          <w:szCs w:val="20"/>
          <w:lang w:val="x-none"/>
        </w:rPr>
        <w:t xml:space="preserve"> </w:t>
      </w:r>
      <w:r w:rsidRPr="00EB13AF">
        <w:rPr>
          <w:rFonts w:ascii="Times New Roman" w:hAnsi="Times New Roman" w:cs="Times New Roman"/>
          <w:i/>
          <w:sz w:val="20"/>
          <w:szCs w:val="20"/>
        </w:rPr>
        <w:t>over the period of time T</w:t>
      </w:r>
      <w:r w:rsidRPr="00EB13AF">
        <w:rPr>
          <w:rFonts w:ascii="Times New Roman" w:hAnsi="Times New Roman" w:cs="Times New Roman"/>
          <w:i/>
          <w:sz w:val="20"/>
          <w:szCs w:val="20"/>
          <w:vertAlign w:val="subscript"/>
        </w:rPr>
        <w:t>SSB_time_index_intra_CCA</w:t>
      </w:r>
      <w:r w:rsidRPr="00EB13AF">
        <w:rPr>
          <w:rFonts w:ascii="Times New Roman" w:hAnsi="Times New Roman" w:cs="Times New Roman"/>
          <w:i/>
          <w:sz w:val="20"/>
          <w:szCs w:val="20"/>
        </w:rPr>
        <w:t>,</w:t>
      </w:r>
      <w:r w:rsidRPr="00EB13AF">
        <w:rPr>
          <w:rFonts w:ascii="Times New Roman" w:hAnsi="Times New Roman" w:cs="Times New Roman"/>
          <w:i/>
          <w:sz w:val="20"/>
          <w:szCs w:val="20"/>
          <w:vertAlign w:val="subscript"/>
        </w:rPr>
        <w:t xml:space="preserve"> </w:t>
      </w:r>
      <w:r w:rsidRPr="00EB13AF">
        <w:rPr>
          <w:rFonts w:ascii="Times New Roman" w:hAnsi="Times New Roman" w:cs="Times New Roman"/>
          <w:i/>
          <w:sz w:val="20"/>
          <w:szCs w:val="20"/>
          <w:lang w:val="x-none"/>
        </w:rPr>
        <w:t xml:space="preserve">the UE has to restart the </w:t>
      </w:r>
      <w:r w:rsidRPr="00EB13AF">
        <w:rPr>
          <w:rFonts w:ascii="Times New Roman" w:hAnsi="Times New Roman" w:cs="Times New Roman"/>
          <w:i/>
          <w:sz w:val="20"/>
          <w:szCs w:val="20"/>
        </w:rPr>
        <w:t>time index detection procedure.</w:t>
      </w:r>
    </w:p>
    <w:p w:rsidR="00B82067" w:rsidRPr="00B82067" w:rsidRDefault="00B82067" w:rsidP="00B82067">
      <w:pPr>
        <w:pStyle w:val="af5"/>
        <w:numPr>
          <w:ilvl w:val="1"/>
          <w:numId w:val="45"/>
        </w:numPr>
        <w:jc w:val="both"/>
        <w:rPr>
          <w:rFonts w:ascii="Times New Roman" w:eastAsia="新細明體" w:hAnsi="Times New Roman" w:cs="Times New Roman"/>
          <w:iCs/>
          <w:sz w:val="20"/>
          <w:szCs w:val="20"/>
        </w:rPr>
      </w:pPr>
      <w:r w:rsidRPr="00EB13AF">
        <w:rPr>
          <w:rFonts w:ascii="Times New Roman" w:hAnsi="Times New Roman" w:cs="Times New Roman"/>
          <w:i/>
          <w:sz w:val="20"/>
          <w:szCs w:val="20"/>
          <w:lang w:val="x-none"/>
        </w:rPr>
        <w:t xml:space="preserve">Upon </w:t>
      </w:r>
      <w:r w:rsidRPr="00EB13AF">
        <w:rPr>
          <w:rFonts w:ascii="Times New Roman" w:hAnsi="Times New Roman" w:cs="Times New Roman"/>
          <w:i/>
          <w:sz w:val="20"/>
          <w:szCs w:val="20"/>
        </w:rPr>
        <w:t>exceeding</w:t>
      </w:r>
      <w:r w:rsidRPr="00EB13AF">
        <w:rPr>
          <w:rFonts w:ascii="Times New Roman" w:hAnsi="Times New Roman" w:cs="Times New Roman"/>
          <w:i/>
          <w:sz w:val="20"/>
          <w:szCs w:val="20"/>
          <w:lang w:val="x-none"/>
        </w:rPr>
        <w:t xml:space="preserve"> </w:t>
      </w:r>
      <w:r w:rsidRPr="00EB13AF">
        <w:rPr>
          <w:rFonts w:ascii="Times New Roman" w:hAnsi="Times New Roman" w:cs="Times New Roman"/>
          <w:i/>
          <w:sz w:val="20"/>
          <w:szCs w:val="20"/>
          <w:lang w:eastAsia="ko-KR"/>
        </w:rPr>
        <w:t>L</w:t>
      </w:r>
      <w:r w:rsidRPr="00EB13AF">
        <w:rPr>
          <w:rFonts w:ascii="Times New Roman" w:hAnsi="Times New Roman" w:cs="Times New Roman"/>
          <w:i/>
          <w:sz w:val="20"/>
          <w:szCs w:val="20"/>
          <w:vertAlign w:val="subscript"/>
          <w:lang w:eastAsia="ko-KR"/>
        </w:rPr>
        <w:t>meas,max</w:t>
      </w:r>
      <w:r w:rsidRPr="00EB13AF">
        <w:rPr>
          <w:rFonts w:ascii="Times New Roman" w:hAnsi="Times New Roman" w:cs="Times New Roman"/>
          <w:i/>
          <w:sz w:val="20"/>
          <w:szCs w:val="20"/>
          <w:lang w:val="x-none"/>
        </w:rPr>
        <w:t xml:space="preserve"> </w:t>
      </w:r>
      <w:r w:rsidRPr="00EB13AF">
        <w:rPr>
          <w:rFonts w:ascii="Times New Roman" w:hAnsi="Times New Roman" w:cs="Times New Roman"/>
          <w:i/>
          <w:sz w:val="20"/>
          <w:szCs w:val="20"/>
        </w:rPr>
        <w:t>o</w:t>
      </w:r>
      <w:r w:rsidRPr="00B82067">
        <w:rPr>
          <w:rFonts w:ascii="Times New Roman" w:hAnsi="Times New Roman" w:cs="Times New Roman"/>
          <w:sz w:val="20"/>
          <w:szCs w:val="20"/>
        </w:rPr>
        <w:t>ver the period of time T</w:t>
      </w:r>
      <w:r w:rsidRPr="00B82067">
        <w:rPr>
          <w:rFonts w:ascii="Times New Roman" w:hAnsi="Times New Roman" w:cs="Times New Roman"/>
          <w:sz w:val="20"/>
          <w:szCs w:val="20"/>
          <w:vertAlign w:val="subscript"/>
        </w:rPr>
        <w:t xml:space="preserve"> SSB_measurement_period_intra_CCA</w:t>
      </w:r>
      <w:r w:rsidRPr="00B82067">
        <w:rPr>
          <w:rFonts w:ascii="Times New Roman" w:hAnsi="Times New Roman" w:cs="Times New Roman"/>
          <w:sz w:val="20"/>
          <w:szCs w:val="20"/>
          <w:lang w:val="x-none"/>
        </w:rPr>
        <w:t>, the UE has to restart the measurement procedure.</w:t>
      </w:r>
    </w:p>
    <w:p w:rsidR="00B82067" w:rsidRPr="00B82067" w:rsidRDefault="00B82067" w:rsidP="00B82067">
      <w:pPr>
        <w:pStyle w:val="af5"/>
        <w:numPr>
          <w:ilvl w:val="0"/>
          <w:numId w:val="45"/>
        </w:numPr>
        <w:jc w:val="both"/>
        <w:rPr>
          <w:rFonts w:ascii="Times New Roman" w:eastAsia="新細明體" w:hAnsi="Times New Roman" w:cs="Times New Roman"/>
          <w:iCs/>
          <w:sz w:val="20"/>
          <w:szCs w:val="20"/>
        </w:rPr>
      </w:pPr>
      <w:r w:rsidRPr="00B82067">
        <w:rPr>
          <w:rFonts w:ascii="Times New Roman" w:hAnsi="Times New Roman" w:cs="Times New Roman"/>
          <w:sz w:val="20"/>
          <w:szCs w:val="20"/>
          <w:lang w:val="x-none"/>
        </w:rPr>
        <w:t>In Cell selection</w:t>
      </w:r>
      <w:r>
        <w:rPr>
          <w:rFonts w:ascii="Times New Roman" w:hAnsi="Times New Roman" w:cs="Times New Roman"/>
          <w:sz w:val="20"/>
          <w:szCs w:val="20"/>
          <w:lang w:val="x-none"/>
        </w:rPr>
        <w:t xml:space="preserve"> (clause 4.2A of TS 38.133 R16)</w:t>
      </w:r>
    </w:p>
    <w:p w:rsidR="00B82067" w:rsidRPr="00EB13AF" w:rsidRDefault="00B82067" w:rsidP="00B82067">
      <w:pPr>
        <w:pStyle w:val="af5"/>
        <w:numPr>
          <w:ilvl w:val="1"/>
          <w:numId w:val="45"/>
        </w:numPr>
        <w:rPr>
          <w:rFonts w:ascii="Times New Roman" w:hAnsi="Times New Roman" w:cs="Times New Roman"/>
          <w:i/>
          <w:sz w:val="20"/>
          <w:szCs w:val="20"/>
        </w:rPr>
      </w:pPr>
      <w:r w:rsidRPr="00EB13AF">
        <w:rPr>
          <w:rFonts w:ascii="Times New Roman" w:hAnsi="Times New Roman" w:cs="Times New Roman"/>
          <w:i/>
          <w:sz w:val="20"/>
          <w:szCs w:val="20"/>
        </w:rPr>
        <w:t>UE shall initiate the measurements on neighbour cells of any intra-frequency or inter-frequency if it is unable to measure on serving cell during at least consecutive M</w:t>
      </w:r>
      <w:r w:rsidRPr="00EB13AF">
        <w:rPr>
          <w:rFonts w:ascii="Times New Roman" w:hAnsi="Times New Roman" w:cs="Times New Roman"/>
          <w:i/>
          <w:sz w:val="20"/>
          <w:szCs w:val="20"/>
          <w:vertAlign w:val="subscript"/>
        </w:rPr>
        <w:t>q</w:t>
      </w:r>
      <w:r w:rsidRPr="00EB13AF">
        <w:rPr>
          <w:rFonts w:ascii="Times New Roman" w:hAnsi="Times New Roman" w:cs="Times New Roman"/>
          <w:i/>
          <w:sz w:val="20"/>
          <w:szCs w:val="20"/>
        </w:rPr>
        <w:t xml:space="preserve"> number of DRX cycles each with at least one SMTC occasion not available at the UE, regardless of any condition of S</w:t>
      </w:r>
      <w:r w:rsidRPr="00EB13AF">
        <w:rPr>
          <w:rFonts w:ascii="Times New Roman" w:hAnsi="Times New Roman" w:cs="Times New Roman"/>
          <w:i/>
          <w:sz w:val="20"/>
          <w:szCs w:val="20"/>
          <w:vertAlign w:val="subscript"/>
        </w:rPr>
        <w:t>nonIntraSearchP</w:t>
      </w:r>
      <w:r w:rsidRPr="00EB13AF">
        <w:rPr>
          <w:rFonts w:ascii="Times New Roman" w:hAnsi="Times New Roman" w:cs="Times New Roman"/>
          <w:i/>
          <w:sz w:val="20"/>
          <w:szCs w:val="20"/>
        </w:rPr>
        <w:t xml:space="preserve"> and S</w:t>
      </w:r>
      <w:r w:rsidRPr="00EB13AF">
        <w:rPr>
          <w:rFonts w:ascii="Times New Roman" w:hAnsi="Times New Roman" w:cs="Times New Roman"/>
          <w:i/>
          <w:sz w:val="20"/>
          <w:szCs w:val="20"/>
          <w:vertAlign w:val="subscript"/>
        </w:rPr>
        <w:t>nonIntraSearchQ</w:t>
      </w:r>
    </w:p>
    <w:p w:rsidR="00B82067" w:rsidRPr="00EB13AF" w:rsidRDefault="00B82067" w:rsidP="00B82067">
      <w:pPr>
        <w:pStyle w:val="af5"/>
        <w:numPr>
          <w:ilvl w:val="1"/>
          <w:numId w:val="45"/>
        </w:numPr>
        <w:rPr>
          <w:rFonts w:ascii="Times New Roman" w:hAnsi="Times New Roman" w:cs="Times New Roman"/>
          <w:i/>
          <w:sz w:val="20"/>
          <w:szCs w:val="20"/>
        </w:rPr>
      </w:pPr>
      <w:r w:rsidRPr="00EB13AF">
        <w:rPr>
          <w:rFonts w:ascii="Times New Roman" w:hAnsi="Times New Roman" w:cs="Times New Roman"/>
          <w:i/>
          <w:sz w:val="20"/>
          <w:szCs w:val="20"/>
        </w:rPr>
        <w:t>The UE shall restart the measurements upon exceeding M</w:t>
      </w:r>
      <w:r w:rsidRPr="00EB13AF">
        <w:rPr>
          <w:rFonts w:ascii="Times New Roman" w:hAnsi="Times New Roman" w:cs="Times New Roman"/>
          <w:i/>
          <w:sz w:val="20"/>
          <w:szCs w:val="20"/>
          <w:vertAlign w:val="subscript"/>
        </w:rPr>
        <w:t>m,max</w:t>
      </w:r>
      <w:r w:rsidRPr="00EB13AF">
        <w:rPr>
          <w:rFonts w:ascii="Times New Roman" w:hAnsi="Times New Roman" w:cs="Times New Roman"/>
          <w:i/>
          <w:sz w:val="20"/>
          <w:szCs w:val="20"/>
        </w:rPr>
        <w:t>, M</w:t>
      </w:r>
      <w:r w:rsidRPr="00EB13AF">
        <w:rPr>
          <w:rFonts w:ascii="Times New Roman" w:hAnsi="Times New Roman" w:cs="Times New Roman"/>
          <w:i/>
          <w:sz w:val="20"/>
          <w:szCs w:val="20"/>
          <w:vertAlign w:val="subscript"/>
        </w:rPr>
        <w:t>d.max</w:t>
      </w:r>
      <w:r w:rsidRPr="00EB13AF">
        <w:rPr>
          <w:rFonts w:ascii="Times New Roman" w:hAnsi="Times New Roman" w:cs="Times New Roman"/>
          <w:i/>
          <w:sz w:val="20"/>
          <w:szCs w:val="20"/>
        </w:rPr>
        <w:t>, or M</w:t>
      </w:r>
      <w:r w:rsidRPr="00EB13AF">
        <w:rPr>
          <w:rFonts w:ascii="Times New Roman" w:hAnsi="Times New Roman" w:cs="Times New Roman"/>
          <w:i/>
          <w:sz w:val="20"/>
          <w:szCs w:val="20"/>
          <w:vertAlign w:val="subscript"/>
        </w:rPr>
        <w:t>e,max</w:t>
      </w:r>
      <w:r w:rsidRPr="00EB13AF">
        <w:rPr>
          <w:rFonts w:ascii="Times New Roman" w:hAnsi="Times New Roman" w:cs="Times New Roman"/>
          <w:i/>
          <w:sz w:val="20"/>
          <w:szCs w:val="20"/>
        </w:rPr>
        <w:t>.</w:t>
      </w:r>
    </w:p>
    <w:p w:rsidR="00C22D8E" w:rsidRDefault="00C22D8E" w:rsidP="00704DAB">
      <w:pPr>
        <w:spacing w:before="120"/>
        <w:rPr>
          <w:rFonts w:eastAsia="新細明體"/>
          <w:iCs/>
          <w:sz w:val="20"/>
        </w:rPr>
      </w:pPr>
      <w:bookmarkStart w:id="3" w:name="_Ref79078612"/>
    </w:p>
    <w:p w:rsidR="00C22D8E" w:rsidRDefault="00C22D8E" w:rsidP="00C22D8E">
      <w:pPr>
        <w:spacing w:after="180"/>
        <w:rPr>
          <w:rFonts w:eastAsia="新細明體" w:cstheme="minorHAnsi"/>
          <w:color w:val="000000"/>
          <w:sz w:val="20"/>
          <w:szCs w:val="20"/>
          <w:lang w:val="en-GB"/>
        </w:rPr>
      </w:pPr>
      <w:r>
        <w:rPr>
          <w:rFonts w:eastAsia="新細明體" w:cstheme="minorHAnsi" w:hint="eastAsia"/>
          <w:color w:val="000000"/>
          <w:sz w:val="20"/>
          <w:szCs w:val="20"/>
          <w:lang w:val="en-GB"/>
        </w:rPr>
        <w:t>To address the concern on too-high</w:t>
      </w:r>
      <w:r>
        <w:rPr>
          <w:rFonts w:eastAsia="新細明體" w:cstheme="minorHAnsi"/>
          <w:color w:val="000000"/>
          <w:sz w:val="20"/>
          <w:szCs w:val="20"/>
          <w:lang w:val="en-GB"/>
        </w:rPr>
        <w:t xml:space="preserve"> CCA success rate, one possible way is to set DBTs within one DRX cycle with the same CCA realization. In other words, regardless which DBTs is selected by </w:t>
      </w:r>
      <w:r>
        <w:rPr>
          <w:rFonts w:eastAsia="新細明體" w:cstheme="minorHAnsi" w:hint="eastAsia"/>
          <w:color w:val="000000"/>
          <w:sz w:val="20"/>
          <w:szCs w:val="20"/>
          <w:lang w:val="en-GB"/>
        </w:rPr>
        <w:t xml:space="preserve">the UE, </w:t>
      </w:r>
      <w:r>
        <w:rPr>
          <w:rFonts w:eastAsia="新細明體" w:cstheme="minorHAnsi"/>
          <w:color w:val="000000"/>
          <w:sz w:val="20"/>
          <w:szCs w:val="20"/>
          <w:lang w:val="en-GB"/>
        </w:rPr>
        <w:t xml:space="preserve">the </w:t>
      </w:r>
      <w:r>
        <w:rPr>
          <w:rFonts w:eastAsia="新細明體" w:cstheme="minorHAnsi" w:hint="eastAsia"/>
          <w:color w:val="000000"/>
          <w:sz w:val="20"/>
          <w:szCs w:val="20"/>
          <w:lang w:val="en-GB"/>
        </w:rPr>
        <w:t xml:space="preserve">testing on the UE </w:t>
      </w:r>
      <w:r>
        <w:rPr>
          <w:rFonts w:eastAsia="新細明體" w:cstheme="minorHAnsi"/>
          <w:color w:val="000000"/>
          <w:sz w:val="20"/>
          <w:szCs w:val="20"/>
          <w:lang w:val="en-GB"/>
        </w:rPr>
        <w:t>behaviour will not be impacted</w:t>
      </w:r>
      <w:r>
        <w:rPr>
          <w:rFonts w:eastAsia="新細明體" w:cstheme="minorHAnsi" w:hint="eastAsia"/>
          <w:color w:val="000000"/>
          <w:sz w:val="20"/>
          <w:szCs w:val="20"/>
          <w:lang w:val="en-GB"/>
        </w:rPr>
        <w:t>.</w:t>
      </w:r>
      <w:r>
        <w:rPr>
          <w:rFonts w:eastAsia="新細明體" w:cstheme="minorHAnsi"/>
          <w:color w:val="000000"/>
          <w:sz w:val="20"/>
          <w:szCs w:val="20"/>
          <w:lang w:val="en-GB"/>
        </w:rPr>
        <w:t xml:space="preserve"> </w:t>
      </w:r>
      <w:r w:rsidR="004837DC">
        <w:rPr>
          <w:rFonts w:eastAsia="新細明體" w:cstheme="minorHAnsi"/>
          <w:color w:val="000000"/>
          <w:sz w:val="20"/>
          <w:szCs w:val="20"/>
          <w:lang w:val="en-GB"/>
        </w:rPr>
        <w:t>Thus, the overall CCA success rate can be maintained fairly, as illustrated in Figure 1. For example, in the 1</w:t>
      </w:r>
      <w:r w:rsidR="004837DC" w:rsidRPr="004837DC">
        <w:rPr>
          <w:rFonts w:eastAsia="新細明體" w:cstheme="minorHAnsi"/>
          <w:color w:val="000000"/>
          <w:sz w:val="20"/>
          <w:szCs w:val="20"/>
          <w:vertAlign w:val="superscript"/>
          <w:lang w:val="en-GB"/>
        </w:rPr>
        <w:t>st</w:t>
      </w:r>
      <w:r w:rsidR="004837DC">
        <w:rPr>
          <w:rFonts w:eastAsia="新細明體" w:cstheme="minorHAnsi"/>
          <w:color w:val="000000"/>
          <w:sz w:val="20"/>
          <w:szCs w:val="20"/>
          <w:lang w:val="en-GB"/>
        </w:rPr>
        <w:t xml:space="preserve"> DRX cycle, the first position of the 1</w:t>
      </w:r>
      <w:r w:rsidR="004837DC" w:rsidRPr="004837DC">
        <w:rPr>
          <w:rFonts w:eastAsia="新細明體" w:cstheme="minorHAnsi"/>
          <w:color w:val="000000"/>
          <w:sz w:val="20"/>
          <w:szCs w:val="20"/>
          <w:vertAlign w:val="superscript"/>
          <w:lang w:val="en-GB"/>
        </w:rPr>
        <w:t>st</w:t>
      </w:r>
      <w:r w:rsidR="004837DC">
        <w:rPr>
          <w:rFonts w:eastAsia="新細明體" w:cstheme="minorHAnsi"/>
          <w:color w:val="000000"/>
          <w:sz w:val="20"/>
          <w:szCs w:val="20"/>
          <w:lang w:val="en-GB"/>
        </w:rPr>
        <w:t xml:space="preserve"> SMTC is with CCA failure (X) and the 2nd position of the 1</w:t>
      </w:r>
      <w:r w:rsidR="004837DC" w:rsidRPr="004837DC">
        <w:rPr>
          <w:rFonts w:eastAsia="新細明體" w:cstheme="minorHAnsi"/>
          <w:color w:val="000000"/>
          <w:sz w:val="20"/>
          <w:szCs w:val="20"/>
          <w:vertAlign w:val="superscript"/>
          <w:lang w:val="en-GB"/>
        </w:rPr>
        <w:t>st</w:t>
      </w:r>
      <w:r w:rsidR="004837DC">
        <w:rPr>
          <w:rFonts w:eastAsia="新細明體" w:cstheme="minorHAnsi"/>
          <w:color w:val="000000"/>
          <w:sz w:val="20"/>
          <w:szCs w:val="20"/>
          <w:lang w:val="en-GB"/>
        </w:rPr>
        <w:t xml:space="preserve"> SMT</w:t>
      </w:r>
      <w:r w:rsidR="004837DC">
        <w:rPr>
          <w:rFonts w:eastAsia="新細明體" w:cstheme="minorHAnsi" w:hint="eastAsia"/>
          <w:color w:val="000000"/>
          <w:sz w:val="20"/>
          <w:szCs w:val="20"/>
          <w:lang w:val="en-GB"/>
        </w:rPr>
        <w:t>C CCA success (</w:t>
      </w:r>
      <w:r w:rsidR="004837DC">
        <w:rPr>
          <w:rFonts w:eastAsia="新細明體" w:cstheme="minorHAnsi"/>
          <w:color w:val="000000"/>
          <w:sz w:val="20"/>
          <w:szCs w:val="20"/>
          <w:lang w:val="en-GB"/>
        </w:rPr>
        <w:t>O</w:t>
      </w:r>
      <w:r w:rsidR="004837DC">
        <w:rPr>
          <w:rFonts w:eastAsia="新細明體" w:cstheme="minorHAnsi" w:hint="eastAsia"/>
          <w:color w:val="000000"/>
          <w:sz w:val="20"/>
          <w:szCs w:val="20"/>
          <w:lang w:val="en-GB"/>
        </w:rPr>
        <w:t>)</w:t>
      </w:r>
      <w:r w:rsidR="004837DC">
        <w:rPr>
          <w:rFonts w:eastAsia="新細明體" w:cstheme="minorHAnsi"/>
          <w:color w:val="000000"/>
          <w:sz w:val="20"/>
          <w:szCs w:val="20"/>
          <w:lang w:val="en-GB"/>
        </w:rPr>
        <w:t>, then for the 2</w:t>
      </w:r>
      <w:r w:rsidR="004837DC" w:rsidRPr="004837DC">
        <w:rPr>
          <w:rFonts w:eastAsia="新細明體" w:cstheme="minorHAnsi"/>
          <w:color w:val="000000"/>
          <w:sz w:val="20"/>
          <w:szCs w:val="20"/>
          <w:vertAlign w:val="superscript"/>
          <w:lang w:val="en-GB"/>
        </w:rPr>
        <w:t>nd</w:t>
      </w:r>
      <w:r w:rsidR="004837DC">
        <w:rPr>
          <w:rFonts w:eastAsia="新細明體" w:cstheme="minorHAnsi"/>
          <w:color w:val="000000"/>
          <w:sz w:val="20"/>
          <w:szCs w:val="20"/>
          <w:lang w:val="en-GB"/>
        </w:rPr>
        <w:t xml:space="preserve"> SMTC, the realization of the 1</w:t>
      </w:r>
      <w:r w:rsidR="004837DC" w:rsidRPr="004837DC">
        <w:rPr>
          <w:rFonts w:eastAsia="新細明體" w:cstheme="minorHAnsi"/>
          <w:color w:val="000000"/>
          <w:sz w:val="20"/>
          <w:szCs w:val="20"/>
          <w:vertAlign w:val="superscript"/>
          <w:lang w:val="en-GB"/>
        </w:rPr>
        <w:t>st</w:t>
      </w:r>
      <w:r w:rsidR="004837DC">
        <w:rPr>
          <w:rFonts w:eastAsia="新細明體" w:cstheme="minorHAnsi"/>
          <w:color w:val="000000"/>
          <w:sz w:val="20"/>
          <w:szCs w:val="20"/>
          <w:lang w:val="en-GB"/>
        </w:rPr>
        <w:t xml:space="preserve"> and the 2</w:t>
      </w:r>
      <w:r w:rsidR="004837DC" w:rsidRPr="004837DC">
        <w:rPr>
          <w:rFonts w:eastAsia="新細明體" w:cstheme="minorHAnsi"/>
          <w:color w:val="000000"/>
          <w:sz w:val="20"/>
          <w:szCs w:val="20"/>
          <w:vertAlign w:val="superscript"/>
          <w:lang w:val="en-GB"/>
        </w:rPr>
        <w:t>nd</w:t>
      </w:r>
      <w:r w:rsidR="004837DC">
        <w:rPr>
          <w:rFonts w:eastAsia="新細明體" w:cstheme="minorHAnsi"/>
          <w:color w:val="000000"/>
          <w:sz w:val="20"/>
          <w:szCs w:val="20"/>
          <w:lang w:val="en-GB"/>
        </w:rPr>
        <w:t xml:space="preserve"> position are set to the same as that of the 1</w:t>
      </w:r>
      <w:r w:rsidR="004837DC" w:rsidRPr="004837DC">
        <w:rPr>
          <w:rFonts w:eastAsia="新細明體" w:cstheme="minorHAnsi"/>
          <w:color w:val="000000"/>
          <w:sz w:val="20"/>
          <w:szCs w:val="20"/>
          <w:vertAlign w:val="superscript"/>
          <w:lang w:val="en-GB"/>
        </w:rPr>
        <w:t>st</w:t>
      </w:r>
      <w:r w:rsidR="004837DC">
        <w:rPr>
          <w:rFonts w:eastAsia="新細明體" w:cstheme="minorHAnsi"/>
          <w:color w:val="000000"/>
          <w:sz w:val="20"/>
          <w:szCs w:val="20"/>
          <w:lang w:val="en-GB"/>
        </w:rPr>
        <w:t xml:space="preserve"> SMTC. </w:t>
      </w:r>
    </w:p>
    <w:p w:rsidR="00C22D8E" w:rsidRPr="00C22D8E" w:rsidRDefault="00C22D8E" w:rsidP="00704DAB">
      <w:pPr>
        <w:spacing w:before="120"/>
        <w:rPr>
          <w:rFonts w:eastAsia="新細明體"/>
          <w:iCs/>
          <w:sz w:val="20"/>
          <w:lang w:val="en-GB"/>
        </w:rPr>
      </w:pPr>
    </w:p>
    <w:p w:rsidR="00C22D8E" w:rsidRDefault="004837DC" w:rsidP="002D7F62">
      <w:pPr>
        <w:spacing w:before="120"/>
        <w:jc w:val="center"/>
        <w:rPr>
          <w:rFonts w:eastAsia="新細明體"/>
          <w:iCs/>
          <w:sz w:val="20"/>
        </w:rPr>
      </w:pPr>
      <w:r>
        <w:rPr>
          <w:rFonts w:eastAsia="新細明體"/>
          <w:iCs/>
          <w:noProof/>
          <w:sz w:val="20"/>
        </w:rPr>
        <w:lastRenderedPageBreak/>
        <w:drawing>
          <wp:inline distT="0" distB="0" distL="0" distR="0" wp14:anchorId="5334191A">
            <wp:extent cx="4484076" cy="139563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5288" cy="1408464"/>
                    </a:xfrm>
                    <a:prstGeom prst="rect">
                      <a:avLst/>
                    </a:prstGeom>
                    <a:noFill/>
                  </pic:spPr>
                </pic:pic>
              </a:graphicData>
            </a:graphic>
          </wp:inline>
        </w:drawing>
      </w:r>
    </w:p>
    <w:p w:rsidR="004837DC" w:rsidRPr="008B5863" w:rsidRDefault="004837DC" w:rsidP="004837DC">
      <w:pPr>
        <w:pStyle w:val="af9"/>
        <w:jc w:val="center"/>
        <w:rPr>
          <w:rFonts w:ascii="Times New Roman" w:hAnsi="Times New Roman" w:cs="Times New Roman"/>
          <w:bCs/>
          <w:lang w:val="en-US"/>
        </w:rPr>
      </w:pPr>
      <w:r w:rsidRPr="008B5863">
        <w:rPr>
          <w:rFonts w:ascii="Times New Roman" w:eastAsia="Malgun Gothic" w:hAnsi="Times New Roman" w:cs="Times New Roman"/>
          <w:b/>
          <w:i/>
          <w:lang w:eastAsia="ko-KR"/>
        </w:rPr>
        <w:t xml:space="preserve">Figure 1: </w:t>
      </w:r>
      <w:r w:rsidRPr="008B5863">
        <w:rPr>
          <w:rFonts w:ascii="Times New Roman" w:eastAsia="Malgun Gothic" w:hAnsi="Times New Roman" w:cs="Times New Roman"/>
          <w:i/>
          <w:lang w:eastAsia="ko-KR"/>
        </w:rPr>
        <w:t>CCA model with DRX</w:t>
      </w:r>
      <w:r>
        <w:rPr>
          <w:rFonts w:ascii="Times New Roman" w:eastAsia="Malgun Gothic" w:hAnsi="Times New Roman" w:cs="Times New Roman"/>
          <w:i/>
          <w:lang w:eastAsia="ko-KR"/>
        </w:rPr>
        <w:t xml:space="preserve">. Same realization of DBT within a DRX cycle. </w:t>
      </w:r>
    </w:p>
    <w:p w:rsidR="00C22D8E" w:rsidRDefault="00C22D8E" w:rsidP="00704DAB">
      <w:pPr>
        <w:spacing w:before="120"/>
        <w:rPr>
          <w:rFonts w:eastAsia="新細明體"/>
          <w:iCs/>
          <w:sz w:val="20"/>
        </w:rPr>
      </w:pPr>
    </w:p>
    <w:p w:rsidR="002D7F62" w:rsidRPr="002D7F62" w:rsidRDefault="004837DC" w:rsidP="004837DC">
      <w:pPr>
        <w:spacing w:after="180"/>
        <w:rPr>
          <w:rFonts w:eastAsia="新細明體" w:cstheme="minorHAnsi"/>
          <w:b/>
          <w:i/>
          <w:iCs/>
          <w:color w:val="000000"/>
        </w:rPr>
      </w:pPr>
      <w:bookmarkStart w:id="4" w:name="_Ref85458543"/>
      <w:r w:rsidRPr="002D7F62">
        <w:rPr>
          <w:rFonts w:eastAsia="新細明體" w:cstheme="minorHAnsi"/>
          <w:b/>
          <w:i/>
          <w:lang w:val="en-GB"/>
        </w:rPr>
        <w:t xml:space="preserve">Proposal </w:t>
      </w:r>
      <w:r w:rsidRPr="002D7F62">
        <w:rPr>
          <w:rFonts w:eastAsia="新細明體" w:cstheme="minorHAnsi"/>
          <w:b/>
          <w:i/>
          <w:lang w:val="en-GB"/>
        </w:rPr>
        <w:fldChar w:fldCharType="begin"/>
      </w:r>
      <w:r w:rsidRPr="002D7F62">
        <w:rPr>
          <w:rFonts w:eastAsia="新細明體" w:cstheme="minorHAnsi"/>
          <w:b/>
          <w:i/>
          <w:lang w:val="en-GB"/>
        </w:rPr>
        <w:instrText xml:space="preserve"> SEQ Proposal \* ARABIC </w:instrText>
      </w:r>
      <w:r w:rsidRPr="002D7F62">
        <w:rPr>
          <w:rFonts w:eastAsia="新細明體" w:cstheme="minorHAnsi"/>
          <w:b/>
          <w:i/>
          <w:lang w:val="en-GB"/>
        </w:rPr>
        <w:fldChar w:fldCharType="separate"/>
      </w:r>
      <w:r w:rsidR="00EB13AF">
        <w:rPr>
          <w:rFonts w:eastAsia="新細明體" w:cstheme="minorHAnsi"/>
          <w:b/>
          <w:i/>
          <w:noProof/>
          <w:lang w:val="en-GB"/>
        </w:rPr>
        <w:t>1</w:t>
      </w:r>
      <w:r w:rsidRPr="002D7F62">
        <w:rPr>
          <w:rFonts w:eastAsia="新細明體" w:cstheme="minorHAnsi"/>
          <w:b/>
          <w:i/>
          <w:lang w:val="en-GB"/>
        </w:rPr>
        <w:fldChar w:fldCharType="end"/>
      </w:r>
      <w:r w:rsidRPr="002D7F62">
        <w:rPr>
          <w:rFonts w:eastAsia="新細明體" w:cstheme="minorHAnsi"/>
          <w:b/>
          <w:i/>
          <w:lang w:val="en-GB"/>
        </w:rPr>
        <w:t xml:space="preserve">: </w:t>
      </w:r>
      <w:r w:rsidRPr="008B5863">
        <w:rPr>
          <w:rFonts w:eastAsia="新細明體" w:cstheme="minorHAnsi"/>
          <w:b/>
          <w:i/>
          <w:iCs/>
          <w:color w:val="000000"/>
        </w:rPr>
        <w:t xml:space="preserve">If DRX is in used, </w:t>
      </w:r>
      <w:r w:rsidR="002D7F62" w:rsidRPr="002D7F62">
        <w:rPr>
          <w:rFonts w:eastAsia="新細明體" w:cstheme="minorHAnsi"/>
          <w:b/>
          <w:i/>
          <w:iCs/>
          <w:color w:val="000000"/>
        </w:rPr>
        <w:t>same CCA realizations are applied to the DBTs within a DRX cycle.</w:t>
      </w:r>
      <w:bookmarkEnd w:id="4"/>
    </w:p>
    <w:p w:rsidR="00C22D8E" w:rsidRDefault="00C22D8E" w:rsidP="00704DAB">
      <w:pPr>
        <w:spacing w:before="120"/>
        <w:rPr>
          <w:rFonts w:eastAsia="新細明體"/>
          <w:iCs/>
          <w:sz w:val="20"/>
        </w:rPr>
      </w:pPr>
    </w:p>
    <w:p w:rsidR="008B5863" w:rsidRDefault="002D7F62" w:rsidP="00704DAB">
      <w:pPr>
        <w:spacing w:before="120"/>
        <w:rPr>
          <w:rFonts w:eastAsia="新細明體"/>
          <w:iCs/>
          <w:sz w:val="20"/>
        </w:rPr>
      </w:pPr>
      <w:r>
        <w:rPr>
          <w:rFonts w:eastAsia="新細明體"/>
          <w:iCs/>
          <w:sz w:val="20"/>
        </w:rPr>
        <w:t>Besides</w:t>
      </w:r>
      <w:r w:rsidR="008B5863">
        <w:rPr>
          <w:rFonts w:eastAsia="新細明體"/>
          <w:iCs/>
          <w:sz w:val="20"/>
        </w:rPr>
        <w:t xml:space="preserve">, </w:t>
      </w:r>
      <w:r>
        <w:rPr>
          <w:rFonts w:eastAsia="新細明體"/>
          <w:iCs/>
          <w:sz w:val="20"/>
        </w:rPr>
        <w:t xml:space="preserve">to avoid the exceeding on the Lmax, it can follow the similar logic as </w:t>
      </w:r>
      <w:r w:rsidR="008B5863">
        <w:rPr>
          <w:rFonts w:eastAsia="新細明體"/>
          <w:iCs/>
          <w:sz w:val="20"/>
        </w:rPr>
        <w:t>IDLE mode requirement</w:t>
      </w:r>
      <w:r>
        <w:rPr>
          <w:rFonts w:eastAsia="新細明體"/>
          <w:iCs/>
          <w:sz w:val="20"/>
        </w:rPr>
        <w:t>, which was</w:t>
      </w:r>
      <w:r w:rsidR="008B5863">
        <w:rPr>
          <w:rFonts w:eastAsia="新細明體"/>
          <w:iCs/>
          <w:sz w:val="20"/>
        </w:rPr>
        <w:t xml:space="preserve"> agreed in RAN4 92b (R4-1912851)</w:t>
      </w:r>
      <w:r>
        <w:rPr>
          <w:rFonts w:eastAsia="新細明體"/>
          <w:iCs/>
          <w:sz w:val="20"/>
        </w:rPr>
        <w:t xml:space="preserve">: </w:t>
      </w:r>
    </w:p>
    <w:p w:rsidR="004C395D" w:rsidRPr="008B5863" w:rsidRDefault="00C40AEF" w:rsidP="008B5863">
      <w:pPr>
        <w:spacing w:before="120"/>
        <w:ind w:left="720"/>
        <w:rPr>
          <w:rFonts w:eastAsia="新細明體"/>
          <w:i/>
          <w:iCs/>
          <w:sz w:val="20"/>
        </w:rPr>
      </w:pPr>
      <w:r w:rsidRPr="008B5863">
        <w:rPr>
          <w:rFonts w:eastAsia="新細明體"/>
          <w:i/>
          <w:iCs/>
          <w:sz w:val="20"/>
        </w:rPr>
        <w:t>Ms is the number of DRX cycles with at least one SMTC where there are no SSBs available at the UE during Nserv</w:t>
      </w:r>
    </w:p>
    <w:p w:rsidR="000B4264" w:rsidRDefault="000B4264" w:rsidP="000B4264">
      <w:pPr>
        <w:spacing w:after="180"/>
        <w:rPr>
          <w:rFonts w:asciiTheme="majorHAnsi" w:eastAsia="新細明體" w:hAnsiTheme="majorHAnsi" w:cstheme="majorHAnsi"/>
          <w:iCs/>
          <w:sz w:val="20"/>
        </w:rPr>
      </w:pPr>
    </w:p>
    <w:p w:rsidR="001E18EE" w:rsidRDefault="000B4264" w:rsidP="000B4264">
      <w:pPr>
        <w:spacing w:after="180"/>
        <w:rPr>
          <w:rFonts w:eastAsia="新細明體" w:cstheme="minorHAnsi"/>
          <w:color w:val="000000"/>
          <w:sz w:val="20"/>
          <w:szCs w:val="20"/>
          <w:lang w:val="en-GB"/>
        </w:rPr>
      </w:pPr>
      <w:r w:rsidRPr="000B4264">
        <w:rPr>
          <w:rFonts w:eastAsia="新細明體" w:cstheme="minorHAnsi"/>
          <w:iCs/>
          <w:sz w:val="20"/>
        </w:rPr>
        <w:t xml:space="preserve">For example, during the </w:t>
      </w:r>
      <w:r w:rsidRPr="008B5863">
        <w:rPr>
          <w:rFonts w:eastAsia="新細明體" w:cstheme="minorHAnsi"/>
          <w:color w:val="000000"/>
          <w:sz w:val="20"/>
          <w:szCs w:val="20"/>
          <w:lang w:val="en-GB"/>
        </w:rPr>
        <w:t xml:space="preserve">last </w:t>
      </w:r>
      <w:r w:rsidRPr="008B5863">
        <w:rPr>
          <w:rFonts w:eastAsia="新細明體" w:cstheme="minorHAnsi"/>
          <w:iCs/>
          <w:color w:val="000000"/>
          <w:sz w:val="20"/>
          <w:szCs w:val="20"/>
          <w:lang w:val="en-GB"/>
        </w:rPr>
        <w:t xml:space="preserve">evaluation window </w:t>
      </w:r>
      <w:r w:rsidRPr="008B5863">
        <w:rPr>
          <w:rFonts w:eastAsia="新細明體" w:cstheme="minorHAnsi"/>
          <w:color w:val="000000"/>
          <w:sz w:val="20"/>
          <w:szCs w:val="20"/>
          <w:lang w:val="en-GB"/>
        </w:rPr>
        <w:t>W</w:t>
      </w:r>
      <w:r w:rsidRPr="008B5863">
        <w:rPr>
          <w:rFonts w:eastAsia="新細明體" w:cstheme="minorHAnsi"/>
          <w:color w:val="000000"/>
          <w:sz w:val="20"/>
          <w:szCs w:val="20"/>
          <w:vertAlign w:val="subscript"/>
          <w:lang w:val="en-GB"/>
        </w:rPr>
        <w:t>CCA_DL</w:t>
      </w:r>
      <w:r w:rsidRPr="000B4264">
        <w:rPr>
          <w:rFonts w:eastAsia="新細明體" w:cstheme="minorHAnsi"/>
          <w:iCs/>
          <w:sz w:val="20"/>
        </w:rPr>
        <w:t xml:space="preserve">, if the number of DRX cycles with at least one SMTC where there are no SSBs available at the UE is </w:t>
      </w:r>
      <w:r w:rsidRPr="008B5863">
        <w:rPr>
          <w:rFonts w:eastAsia="新細明體" w:cstheme="minorHAnsi"/>
          <w:color w:val="000000"/>
          <w:sz w:val="20"/>
          <w:szCs w:val="20"/>
          <w:lang w:val="en-GB"/>
        </w:rPr>
        <w:t>larger or equal to L</w:t>
      </w:r>
      <w:r w:rsidRPr="008B5863">
        <w:rPr>
          <w:rFonts w:eastAsia="新細明體" w:cstheme="minorHAnsi"/>
          <w:color w:val="000000"/>
          <w:sz w:val="20"/>
          <w:szCs w:val="20"/>
          <w:vertAlign w:val="subscript"/>
          <w:lang w:val="en-GB"/>
        </w:rPr>
        <w:t>CCA_DL</w:t>
      </w:r>
      <w:r w:rsidRPr="008B5863">
        <w:rPr>
          <w:rFonts w:eastAsia="新細明體" w:cstheme="minorHAnsi"/>
          <w:color w:val="000000"/>
          <w:sz w:val="20"/>
          <w:szCs w:val="20"/>
          <w:lang w:val="en-GB"/>
        </w:rPr>
        <w:t xml:space="preserve">, the </w:t>
      </w:r>
      <w:r w:rsidR="00A01154">
        <w:rPr>
          <w:rFonts w:eastAsia="新細明體" w:cstheme="minorHAnsi"/>
          <w:color w:val="000000"/>
          <w:sz w:val="20"/>
          <w:szCs w:val="20"/>
          <w:lang w:val="en-GB"/>
        </w:rPr>
        <w:t xml:space="preserve">next </w:t>
      </w:r>
      <w:r w:rsidRPr="008B5863">
        <w:rPr>
          <w:rFonts w:eastAsia="新細明體" w:cstheme="minorHAnsi"/>
          <w:color w:val="000000"/>
          <w:sz w:val="20"/>
          <w:szCs w:val="20"/>
          <w:lang w:val="en-GB"/>
        </w:rPr>
        <w:t>CCA attempt is considered</w:t>
      </w:r>
      <w:r w:rsidR="007921AC">
        <w:rPr>
          <w:rFonts w:eastAsia="新細明體" w:cstheme="minorHAnsi"/>
          <w:color w:val="000000"/>
          <w:sz w:val="20"/>
          <w:szCs w:val="20"/>
          <w:lang w:val="en-GB"/>
        </w:rPr>
        <w:t xml:space="preserve"> (set)</w:t>
      </w:r>
      <w:r w:rsidRPr="008B5863">
        <w:rPr>
          <w:rFonts w:eastAsia="新細明體" w:cstheme="minorHAnsi"/>
          <w:color w:val="000000"/>
          <w:sz w:val="20"/>
          <w:szCs w:val="20"/>
          <w:lang w:val="en-GB"/>
        </w:rPr>
        <w:t xml:space="preserve"> successful for transmission</w:t>
      </w:r>
      <w:r w:rsidRPr="000B4264">
        <w:rPr>
          <w:rFonts w:eastAsia="新細明體" w:cstheme="minorHAnsi"/>
          <w:color w:val="000000"/>
          <w:sz w:val="20"/>
          <w:szCs w:val="20"/>
          <w:lang w:val="en-GB"/>
        </w:rPr>
        <w:t xml:space="preserve">. </w:t>
      </w:r>
      <w:r w:rsidR="007921AC">
        <w:rPr>
          <w:rFonts w:eastAsia="新細明體" w:cstheme="minorHAnsi"/>
          <w:color w:val="000000"/>
          <w:sz w:val="20"/>
          <w:szCs w:val="20"/>
          <w:lang w:val="en-GB"/>
        </w:rPr>
        <w:t xml:space="preserve">As illustrated in Figure 2, </w:t>
      </w:r>
      <w:r w:rsidR="007921AC">
        <w:rPr>
          <w:rFonts w:eastAsia="新細明體" w:cstheme="minorHAnsi" w:hint="eastAsia"/>
          <w:color w:val="000000"/>
          <w:sz w:val="20"/>
          <w:szCs w:val="20"/>
          <w:lang w:val="en-GB"/>
        </w:rPr>
        <w:t>assuming Lmax =</w:t>
      </w:r>
      <w:r w:rsidR="007921AC">
        <w:rPr>
          <w:rFonts w:eastAsia="新細明體" w:cstheme="minorHAnsi"/>
          <w:color w:val="000000"/>
          <w:sz w:val="20"/>
          <w:szCs w:val="20"/>
          <w:lang w:val="en-GB"/>
        </w:rPr>
        <w:t xml:space="preserve"> </w:t>
      </w:r>
      <w:r w:rsidR="007921AC">
        <w:rPr>
          <w:rFonts w:eastAsia="新細明體" w:cstheme="minorHAnsi" w:hint="eastAsia"/>
          <w:color w:val="000000"/>
          <w:sz w:val="20"/>
          <w:szCs w:val="20"/>
          <w:lang w:val="en-GB"/>
        </w:rPr>
        <w:t>2</w:t>
      </w:r>
      <w:r w:rsidR="007921AC">
        <w:rPr>
          <w:rFonts w:eastAsia="新細明體" w:cstheme="minorHAnsi"/>
          <w:color w:val="000000"/>
          <w:sz w:val="20"/>
          <w:szCs w:val="20"/>
          <w:lang w:val="en-GB"/>
        </w:rPr>
        <w:t xml:space="preserve">, the </w:t>
      </w:r>
      <w:r w:rsidR="00A01154">
        <w:rPr>
          <w:rFonts w:eastAsia="新細明體" w:cstheme="minorHAnsi"/>
          <w:color w:val="000000"/>
          <w:sz w:val="20"/>
          <w:szCs w:val="20"/>
          <w:lang w:val="en-GB"/>
        </w:rPr>
        <w:t xml:space="preserve">next </w:t>
      </w:r>
      <w:r w:rsidR="007921AC">
        <w:rPr>
          <w:rFonts w:eastAsia="新細明體" w:cstheme="minorHAnsi"/>
          <w:color w:val="000000"/>
          <w:sz w:val="20"/>
          <w:szCs w:val="20"/>
          <w:lang w:val="en-GB"/>
        </w:rPr>
        <w:t>CCA attempt are considered as successful if the failures counted on DRX basis are larger than or equal to Lmax.</w:t>
      </w:r>
    </w:p>
    <w:p w:rsidR="00011DE2" w:rsidRPr="00C40AEF" w:rsidRDefault="00011DE2" w:rsidP="00704DAB">
      <w:pPr>
        <w:spacing w:before="120"/>
        <w:rPr>
          <w:rFonts w:ascii="Times New Roman" w:eastAsia="SimSun" w:hAnsi="Times New Roman" w:cs="Times New Roman"/>
          <w:b/>
          <w:bCs/>
          <w:i/>
          <w:sz w:val="20"/>
          <w:szCs w:val="20"/>
          <w:shd w:val="pct15" w:color="auto" w:fill="FFFFFF"/>
          <w:lang w:eastAsia="zh-CN"/>
        </w:rPr>
      </w:pPr>
    </w:p>
    <w:p w:rsidR="00011DE2" w:rsidRPr="00C40AEF" w:rsidRDefault="001E18EE" w:rsidP="005E3D58">
      <w:pPr>
        <w:spacing w:after="180"/>
        <w:rPr>
          <w:rFonts w:eastAsia="新細明體" w:cstheme="minorHAnsi"/>
          <w:b/>
          <w:i/>
          <w:color w:val="000000"/>
          <w:lang w:val="en-GB"/>
        </w:rPr>
      </w:pPr>
      <w:bookmarkStart w:id="5" w:name="_Ref85458546"/>
      <w:r w:rsidRPr="00C40AEF">
        <w:rPr>
          <w:rFonts w:eastAsia="新細明體" w:cstheme="minorHAnsi"/>
          <w:b/>
          <w:i/>
          <w:lang w:val="en-GB"/>
        </w:rPr>
        <w:t xml:space="preserve">Proposal </w:t>
      </w:r>
      <w:r w:rsidRPr="00C40AEF">
        <w:rPr>
          <w:rFonts w:eastAsia="新細明體" w:cstheme="minorHAnsi"/>
          <w:b/>
          <w:i/>
          <w:lang w:val="en-GB"/>
        </w:rPr>
        <w:fldChar w:fldCharType="begin"/>
      </w:r>
      <w:r w:rsidRPr="00C40AEF">
        <w:rPr>
          <w:rFonts w:eastAsia="新細明體" w:cstheme="minorHAnsi"/>
          <w:b/>
          <w:i/>
          <w:lang w:val="en-GB"/>
        </w:rPr>
        <w:instrText xml:space="preserve"> SEQ Proposal \* ARABIC </w:instrText>
      </w:r>
      <w:r w:rsidRPr="00C40AEF">
        <w:rPr>
          <w:rFonts w:eastAsia="新細明體" w:cstheme="minorHAnsi"/>
          <w:b/>
          <w:i/>
          <w:lang w:val="en-GB"/>
        </w:rPr>
        <w:fldChar w:fldCharType="separate"/>
      </w:r>
      <w:r w:rsidR="00EB13AF" w:rsidRPr="00C40AEF">
        <w:rPr>
          <w:rFonts w:eastAsia="新細明體" w:cstheme="minorHAnsi"/>
          <w:b/>
          <w:i/>
          <w:noProof/>
          <w:lang w:val="en-GB"/>
        </w:rPr>
        <w:t>2</w:t>
      </w:r>
      <w:r w:rsidRPr="00C40AEF">
        <w:rPr>
          <w:rFonts w:eastAsia="新細明體" w:cstheme="minorHAnsi"/>
          <w:b/>
          <w:i/>
          <w:lang w:val="en-GB"/>
        </w:rPr>
        <w:fldChar w:fldCharType="end"/>
      </w:r>
      <w:r w:rsidRPr="00C40AEF">
        <w:rPr>
          <w:rFonts w:eastAsia="新細明體" w:cstheme="minorHAnsi"/>
          <w:b/>
          <w:i/>
          <w:lang w:val="en-GB"/>
        </w:rPr>
        <w:t xml:space="preserve">: </w:t>
      </w:r>
      <w:r w:rsidRPr="008B5863">
        <w:rPr>
          <w:rFonts w:eastAsia="新細明體" w:cstheme="minorHAnsi"/>
          <w:b/>
          <w:i/>
          <w:iCs/>
          <w:color w:val="000000"/>
        </w:rPr>
        <w:t xml:space="preserve">If DRX is in used, </w:t>
      </w:r>
      <w:r w:rsidRPr="00C40AEF">
        <w:rPr>
          <w:rFonts w:eastAsia="新細明體" w:cstheme="minorHAnsi"/>
          <w:b/>
          <w:i/>
          <w:color w:val="000000"/>
        </w:rPr>
        <w:t>when</w:t>
      </w:r>
      <w:r w:rsidRPr="00C40AEF">
        <w:rPr>
          <w:rFonts w:eastAsia="新細明體" w:cstheme="minorHAnsi"/>
          <w:b/>
          <w:i/>
          <w:color w:val="000000"/>
          <w:lang w:val="en-GB"/>
        </w:rPr>
        <w:t xml:space="preserve"> the </w:t>
      </w:r>
      <w:r w:rsidRPr="008B5863">
        <w:rPr>
          <w:rFonts w:eastAsia="新細明體" w:cstheme="minorHAnsi"/>
          <w:b/>
          <w:i/>
          <w:iCs/>
          <w:color w:val="000000"/>
        </w:rPr>
        <w:t xml:space="preserve">number of DRX cycles with at least one SMTC where there are no SSBs available at the UE </w:t>
      </w:r>
      <w:r w:rsidRPr="008B5863">
        <w:rPr>
          <w:rFonts w:eastAsia="新細明體" w:cstheme="minorHAnsi"/>
          <w:b/>
          <w:i/>
          <w:color w:val="000000"/>
          <w:lang w:val="en-GB"/>
        </w:rPr>
        <w:t xml:space="preserve">on the last </w:t>
      </w:r>
      <w:r w:rsidRPr="008B5863">
        <w:rPr>
          <w:rFonts w:eastAsia="新細明體" w:cstheme="minorHAnsi"/>
          <w:b/>
          <w:i/>
          <w:iCs/>
          <w:color w:val="000000"/>
          <w:lang w:val="en-GB"/>
        </w:rPr>
        <w:t xml:space="preserve">evaluation window </w:t>
      </w:r>
      <w:r w:rsidRPr="008B5863">
        <w:rPr>
          <w:rFonts w:eastAsia="新細明體" w:cstheme="minorHAnsi"/>
          <w:b/>
          <w:i/>
          <w:color w:val="000000"/>
          <w:lang w:val="en-GB"/>
        </w:rPr>
        <w:t>W</w:t>
      </w:r>
      <w:r w:rsidRPr="008B5863">
        <w:rPr>
          <w:rFonts w:eastAsia="新細明體" w:cstheme="minorHAnsi"/>
          <w:b/>
          <w:i/>
          <w:color w:val="000000"/>
          <w:vertAlign w:val="subscript"/>
          <w:lang w:val="en-GB"/>
        </w:rPr>
        <w:t>CCA_DL</w:t>
      </w:r>
      <w:r w:rsidRPr="008B5863">
        <w:rPr>
          <w:rFonts w:eastAsia="新細明體" w:cstheme="minorHAnsi"/>
          <w:b/>
          <w:i/>
          <w:color w:val="000000"/>
          <w:lang w:val="en-GB"/>
        </w:rPr>
        <w:t>is larger or equal to L</w:t>
      </w:r>
      <w:r w:rsidRPr="008B5863">
        <w:rPr>
          <w:rFonts w:eastAsia="新細明體" w:cstheme="minorHAnsi"/>
          <w:b/>
          <w:i/>
          <w:color w:val="000000"/>
          <w:vertAlign w:val="subscript"/>
          <w:lang w:val="en-GB"/>
        </w:rPr>
        <w:t>CCA_DL</w:t>
      </w:r>
      <w:r w:rsidRPr="008B5863">
        <w:rPr>
          <w:rFonts w:eastAsia="新細明體" w:cstheme="minorHAnsi"/>
          <w:b/>
          <w:i/>
          <w:color w:val="000000"/>
          <w:lang w:val="en-GB"/>
        </w:rPr>
        <w:t xml:space="preserve">, the </w:t>
      </w:r>
      <w:r w:rsidR="00A01154">
        <w:rPr>
          <w:rFonts w:eastAsia="新細明體" w:cstheme="minorHAnsi"/>
          <w:b/>
          <w:i/>
          <w:color w:val="000000"/>
          <w:lang w:val="en-GB"/>
        </w:rPr>
        <w:t xml:space="preserve">next </w:t>
      </w:r>
      <w:r w:rsidRPr="008B5863">
        <w:rPr>
          <w:rFonts w:eastAsia="新細明體" w:cstheme="minorHAnsi"/>
          <w:b/>
          <w:i/>
          <w:color w:val="000000"/>
          <w:lang w:val="en-GB"/>
        </w:rPr>
        <w:t>CCA attempt is considered successful for transmission</w:t>
      </w:r>
      <w:bookmarkEnd w:id="5"/>
    </w:p>
    <w:p w:rsidR="00011DE2" w:rsidRPr="008B5863" w:rsidRDefault="008B5863" w:rsidP="00011DE2">
      <w:pPr>
        <w:autoSpaceDE w:val="0"/>
        <w:autoSpaceDN w:val="0"/>
        <w:spacing w:before="40" w:after="40"/>
        <w:rPr>
          <w:rFonts w:ascii="Times New Roman" w:hAnsi="Times New Roman" w:cs="Times New Roman"/>
          <w:sz w:val="20"/>
          <w:szCs w:val="20"/>
        </w:rPr>
      </w:pPr>
      <w:r w:rsidRPr="008B5863">
        <w:rPr>
          <w:rFonts w:ascii="Times New Roman" w:hAnsi="Times New Roman" w:cs="Times New Roman"/>
          <w:noProof/>
          <w:sz w:val="20"/>
          <w:szCs w:val="20"/>
        </w:rPr>
        <w:drawing>
          <wp:inline distT="0" distB="0" distL="0" distR="0" wp14:anchorId="4BC27F62">
            <wp:extent cx="5603631" cy="249842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9302" cy="2509874"/>
                    </a:xfrm>
                    <a:prstGeom prst="rect">
                      <a:avLst/>
                    </a:prstGeom>
                    <a:noFill/>
                  </pic:spPr>
                </pic:pic>
              </a:graphicData>
            </a:graphic>
          </wp:inline>
        </w:drawing>
      </w:r>
    </w:p>
    <w:p w:rsidR="00011DE2" w:rsidRPr="008B5863" w:rsidRDefault="00EB13AF" w:rsidP="00011DE2">
      <w:pPr>
        <w:pStyle w:val="af9"/>
        <w:jc w:val="center"/>
        <w:rPr>
          <w:rFonts w:ascii="Times New Roman" w:hAnsi="Times New Roman" w:cs="Times New Roman"/>
          <w:bCs/>
          <w:lang w:val="en-US"/>
        </w:rPr>
      </w:pPr>
      <w:r>
        <w:rPr>
          <w:rFonts w:ascii="Times New Roman" w:eastAsia="Malgun Gothic" w:hAnsi="Times New Roman" w:cs="Times New Roman"/>
          <w:b/>
          <w:i/>
          <w:lang w:eastAsia="ko-KR"/>
        </w:rPr>
        <w:t>Figure 2</w:t>
      </w:r>
      <w:r w:rsidR="00011DE2" w:rsidRPr="008B5863">
        <w:rPr>
          <w:rFonts w:ascii="Times New Roman" w:eastAsia="Malgun Gothic" w:hAnsi="Times New Roman" w:cs="Times New Roman"/>
          <w:b/>
          <w:i/>
          <w:lang w:eastAsia="ko-KR"/>
        </w:rPr>
        <w:t xml:space="preserve">: </w:t>
      </w:r>
      <w:r w:rsidR="00011DE2" w:rsidRPr="008B5863">
        <w:rPr>
          <w:rFonts w:ascii="Times New Roman" w:eastAsia="Malgun Gothic" w:hAnsi="Times New Roman" w:cs="Times New Roman"/>
          <w:i/>
          <w:lang w:eastAsia="ko-KR"/>
        </w:rPr>
        <w:t>CCA model with DRX</w:t>
      </w:r>
      <w:r w:rsidR="004837DC">
        <w:rPr>
          <w:rFonts w:ascii="Times New Roman" w:eastAsia="Malgun Gothic" w:hAnsi="Times New Roman" w:cs="Times New Roman"/>
          <w:i/>
          <w:lang w:eastAsia="ko-KR"/>
        </w:rPr>
        <w:t xml:space="preserve"> to avoid exceeding on Lmax</w:t>
      </w:r>
    </w:p>
    <w:p w:rsidR="00011DE2" w:rsidRDefault="00011DE2" w:rsidP="00704DAB">
      <w:pPr>
        <w:spacing w:before="120"/>
        <w:rPr>
          <w:rFonts w:ascii="Times New Roman" w:eastAsia="SimSun" w:hAnsi="Times New Roman" w:cs="Times New Roman"/>
          <w:b/>
          <w:bCs/>
          <w:i/>
          <w:sz w:val="20"/>
          <w:szCs w:val="20"/>
          <w:shd w:val="pct15" w:color="auto" w:fill="FFFFFF"/>
          <w:lang w:eastAsia="zh-CN"/>
        </w:rPr>
      </w:pPr>
    </w:p>
    <w:bookmarkEnd w:id="3"/>
    <w:p w:rsidR="00CE0D5E" w:rsidRPr="005E3D58" w:rsidRDefault="00141644" w:rsidP="00544349">
      <w:pPr>
        <w:pStyle w:val="1"/>
        <w:numPr>
          <w:ilvl w:val="0"/>
          <w:numId w:val="1"/>
        </w:numPr>
        <w:rPr>
          <w:rFonts w:ascii="Calibri" w:hAnsi="Calibri"/>
          <w:lang w:eastAsia="zh-CN"/>
        </w:rPr>
      </w:pPr>
      <w:r w:rsidRPr="005E3D58">
        <w:rPr>
          <w:rFonts w:ascii="Calibri" w:hAnsi="Calibri"/>
        </w:rPr>
        <w:t>Summary</w:t>
      </w:r>
    </w:p>
    <w:p w:rsidR="00557DDF" w:rsidRPr="005E3D58" w:rsidRDefault="006F7557" w:rsidP="00F80BC8">
      <w:pPr>
        <w:jc w:val="both"/>
        <w:rPr>
          <w:rFonts w:ascii="Times New Roman" w:eastAsia="新細明體" w:hAnsi="Times New Roman" w:cs="Times New Roman"/>
          <w:sz w:val="20"/>
          <w:szCs w:val="20"/>
          <w:lang w:val="en-GB"/>
        </w:rPr>
      </w:pPr>
      <w:r w:rsidRPr="005E3D58">
        <w:rPr>
          <w:rFonts w:ascii="Times New Roman" w:hAnsi="Times New Roman" w:cs="Times New Roman" w:hint="eastAsia"/>
          <w:sz w:val="20"/>
          <w:szCs w:val="20"/>
        </w:rPr>
        <w:t xml:space="preserve">In this </w:t>
      </w:r>
      <w:r w:rsidRPr="005E3D58">
        <w:rPr>
          <w:rFonts w:ascii="Times New Roman" w:hAnsi="Times New Roman" w:cs="Times New Roman"/>
          <w:sz w:val="20"/>
          <w:szCs w:val="20"/>
        </w:rPr>
        <w:t>paper,</w:t>
      </w:r>
      <w:r w:rsidR="00FB24ED" w:rsidRPr="005E3D58">
        <w:rPr>
          <w:rFonts w:ascii="Times New Roman" w:hAnsi="Times New Roman" w:cs="Times New Roman" w:hint="eastAsia"/>
          <w:sz w:val="20"/>
          <w:szCs w:val="20"/>
        </w:rPr>
        <w:t xml:space="preserve"> </w:t>
      </w:r>
      <w:r w:rsidR="005E3D58" w:rsidRPr="005E3D58">
        <w:rPr>
          <w:rFonts w:ascii="Times New Roman" w:hAnsi="Times New Roman" w:cs="Times New Roman"/>
          <w:sz w:val="20"/>
          <w:szCs w:val="20"/>
        </w:rPr>
        <w:t>the CCA model with DRX to avoid Lmax has been discussed</w:t>
      </w:r>
      <w:r w:rsidR="000D3205" w:rsidRPr="005E3D58">
        <w:rPr>
          <w:rFonts w:ascii="Times New Roman" w:eastAsia="新細明體" w:hAnsi="Times New Roman" w:cs="Times New Roman"/>
          <w:sz w:val="20"/>
          <w:szCs w:val="20"/>
          <w:lang w:val="en-GB"/>
        </w:rPr>
        <w:t>. We have the following</w:t>
      </w:r>
      <w:r w:rsidR="00F97081" w:rsidRPr="005E3D58">
        <w:rPr>
          <w:rFonts w:ascii="Times New Roman" w:eastAsia="新細明體" w:hAnsi="Times New Roman" w:cs="Times New Roman"/>
          <w:sz w:val="20"/>
          <w:szCs w:val="20"/>
          <w:lang w:val="en-GB"/>
        </w:rPr>
        <w:t xml:space="preserve"> observations and</w:t>
      </w:r>
      <w:r w:rsidR="000D3205" w:rsidRPr="005E3D58">
        <w:rPr>
          <w:rFonts w:ascii="Times New Roman" w:eastAsia="新細明體" w:hAnsi="Times New Roman" w:cs="Times New Roman"/>
          <w:sz w:val="20"/>
          <w:szCs w:val="20"/>
          <w:lang w:val="en-GB"/>
        </w:rPr>
        <w:t xml:space="preserve"> proposals</w:t>
      </w:r>
      <w:r w:rsidR="007E7E51" w:rsidRPr="005E3D58">
        <w:rPr>
          <w:rFonts w:ascii="Times New Roman" w:eastAsia="新細明體" w:hAnsi="Times New Roman" w:cs="Times New Roman"/>
          <w:sz w:val="20"/>
          <w:szCs w:val="20"/>
          <w:lang w:val="en-GB"/>
        </w:rPr>
        <w:t>:</w:t>
      </w:r>
    </w:p>
    <w:p w:rsidR="00130D9C" w:rsidRDefault="00130D9C" w:rsidP="00F80BC8">
      <w:pPr>
        <w:jc w:val="both"/>
        <w:rPr>
          <w:rFonts w:ascii="Times New Roman" w:eastAsia="新細明體" w:hAnsi="Times New Roman" w:cs="Times New Roman"/>
          <w:sz w:val="20"/>
          <w:szCs w:val="20"/>
          <w:shd w:val="pct15" w:color="auto" w:fill="FFFFFF"/>
          <w:lang w:val="en-GB"/>
        </w:rPr>
      </w:pPr>
    </w:p>
    <w:p w:rsidR="005E3D58" w:rsidRDefault="00C40AEF" w:rsidP="00F80BC8">
      <w:pPr>
        <w:jc w:val="both"/>
        <w:rPr>
          <w:rFonts w:ascii="Times New Roman" w:eastAsia="新細明體" w:hAnsi="Times New Roman" w:cs="Times New Roman"/>
          <w:sz w:val="20"/>
          <w:szCs w:val="20"/>
          <w:shd w:val="pct15" w:color="auto" w:fill="FFFFFF"/>
          <w:lang w:val="en-GB"/>
        </w:rPr>
      </w:pPr>
      <w:r>
        <w:rPr>
          <w:rFonts w:ascii="Times New Roman" w:eastAsia="新細明體" w:hAnsi="Times New Roman" w:cs="Times New Roman"/>
          <w:sz w:val="20"/>
          <w:szCs w:val="20"/>
          <w:shd w:val="pct15" w:color="auto" w:fill="FFFFFF"/>
          <w:lang w:val="en-GB"/>
        </w:rPr>
        <w:fldChar w:fldCharType="begin"/>
      </w:r>
      <w:r>
        <w:rPr>
          <w:rFonts w:ascii="Times New Roman" w:eastAsia="新細明體" w:hAnsi="Times New Roman" w:cs="Times New Roman"/>
          <w:sz w:val="20"/>
          <w:szCs w:val="20"/>
          <w:shd w:val="pct15" w:color="auto" w:fill="FFFFFF"/>
          <w:lang w:val="en-GB"/>
        </w:rPr>
        <w:instrText xml:space="preserve"> </w:instrText>
      </w:r>
      <w:r>
        <w:rPr>
          <w:rFonts w:ascii="Times New Roman" w:eastAsia="新細明體" w:hAnsi="Times New Roman" w:cs="Times New Roman" w:hint="eastAsia"/>
          <w:sz w:val="20"/>
          <w:szCs w:val="20"/>
          <w:shd w:val="pct15" w:color="auto" w:fill="FFFFFF"/>
          <w:lang w:val="en-GB"/>
        </w:rPr>
        <w:instrText>REF _Ref85458543 \h</w:instrText>
      </w:r>
      <w:r>
        <w:rPr>
          <w:rFonts w:ascii="Times New Roman" w:eastAsia="新細明體" w:hAnsi="Times New Roman" w:cs="Times New Roman"/>
          <w:sz w:val="20"/>
          <w:szCs w:val="20"/>
          <w:shd w:val="pct15" w:color="auto" w:fill="FFFFFF"/>
          <w:lang w:val="en-GB"/>
        </w:rPr>
        <w:instrText xml:space="preserve"> </w:instrText>
      </w:r>
      <w:r>
        <w:rPr>
          <w:rFonts w:ascii="Times New Roman" w:eastAsia="新細明體" w:hAnsi="Times New Roman" w:cs="Times New Roman"/>
          <w:sz w:val="20"/>
          <w:szCs w:val="20"/>
          <w:shd w:val="pct15" w:color="auto" w:fill="FFFFFF"/>
          <w:lang w:val="en-GB"/>
        </w:rPr>
      </w:r>
      <w:r>
        <w:rPr>
          <w:rFonts w:ascii="Times New Roman" w:eastAsia="新細明體" w:hAnsi="Times New Roman" w:cs="Times New Roman"/>
          <w:sz w:val="20"/>
          <w:szCs w:val="20"/>
          <w:shd w:val="pct15" w:color="auto" w:fill="FFFFFF"/>
          <w:lang w:val="en-GB"/>
        </w:rPr>
        <w:fldChar w:fldCharType="separate"/>
      </w:r>
      <w:r w:rsidRPr="002D7F62">
        <w:rPr>
          <w:rFonts w:eastAsia="新細明體" w:cstheme="minorHAnsi"/>
          <w:b/>
          <w:i/>
          <w:lang w:val="en-GB"/>
        </w:rPr>
        <w:t xml:space="preserve">Proposal </w:t>
      </w:r>
      <w:r>
        <w:rPr>
          <w:rFonts w:eastAsia="新細明體" w:cstheme="minorHAnsi"/>
          <w:b/>
          <w:i/>
          <w:noProof/>
          <w:lang w:val="en-GB"/>
        </w:rPr>
        <w:t>1</w:t>
      </w:r>
      <w:r w:rsidRPr="002D7F62">
        <w:rPr>
          <w:rFonts w:eastAsia="新細明體" w:cstheme="minorHAnsi"/>
          <w:b/>
          <w:i/>
          <w:lang w:val="en-GB"/>
        </w:rPr>
        <w:t xml:space="preserve">: </w:t>
      </w:r>
      <w:r w:rsidRPr="008B5863">
        <w:rPr>
          <w:rFonts w:eastAsia="新細明體" w:cstheme="minorHAnsi"/>
          <w:b/>
          <w:i/>
          <w:iCs/>
          <w:color w:val="000000"/>
        </w:rPr>
        <w:t xml:space="preserve">If DRX is in used, </w:t>
      </w:r>
      <w:r w:rsidRPr="002D7F62">
        <w:rPr>
          <w:rFonts w:eastAsia="新細明體" w:cstheme="minorHAnsi"/>
          <w:b/>
          <w:i/>
          <w:iCs/>
          <w:color w:val="000000"/>
        </w:rPr>
        <w:t>same CCA realizations are applied to the DBTs within a DRX cycle.</w:t>
      </w:r>
      <w:r>
        <w:rPr>
          <w:rFonts w:ascii="Times New Roman" w:eastAsia="新細明體" w:hAnsi="Times New Roman" w:cs="Times New Roman"/>
          <w:sz w:val="20"/>
          <w:szCs w:val="20"/>
          <w:shd w:val="pct15" w:color="auto" w:fill="FFFFFF"/>
          <w:lang w:val="en-GB"/>
        </w:rPr>
        <w:fldChar w:fldCharType="end"/>
      </w:r>
    </w:p>
    <w:p w:rsidR="00C40AEF" w:rsidRPr="00C40AEF" w:rsidRDefault="00C40AEF" w:rsidP="00F80BC8">
      <w:pPr>
        <w:jc w:val="both"/>
        <w:rPr>
          <w:rFonts w:ascii="Times New Roman" w:eastAsia="新細明體" w:hAnsi="Times New Roman" w:cs="Times New Roman"/>
          <w:i/>
          <w:sz w:val="20"/>
          <w:szCs w:val="20"/>
          <w:shd w:val="pct15" w:color="auto" w:fill="FFFFFF"/>
          <w:lang w:val="en-GB"/>
        </w:rPr>
      </w:pPr>
      <w:r w:rsidRPr="00C40AEF">
        <w:rPr>
          <w:rFonts w:ascii="Times New Roman" w:eastAsia="新細明體" w:hAnsi="Times New Roman" w:cs="Times New Roman"/>
          <w:i/>
          <w:sz w:val="20"/>
          <w:szCs w:val="20"/>
          <w:shd w:val="pct15" w:color="auto" w:fill="FFFFFF"/>
          <w:lang w:val="en-GB"/>
        </w:rPr>
        <w:lastRenderedPageBreak/>
        <w:fldChar w:fldCharType="begin"/>
      </w:r>
      <w:r w:rsidRPr="00C40AEF">
        <w:rPr>
          <w:rFonts w:ascii="Times New Roman" w:eastAsia="新細明體" w:hAnsi="Times New Roman" w:cs="Times New Roman"/>
          <w:i/>
          <w:sz w:val="20"/>
          <w:szCs w:val="20"/>
          <w:shd w:val="pct15" w:color="auto" w:fill="FFFFFF"/>
          <w:lang w:val="en-GB"/>
        </w:rPr>
        <w:instrText xml:space="preserve"> </w:instrText>
      </w:r>
      <w:r w:rsidRPr="00C40AEF">
        <w:rPr>
          <w:rFonts w:ascii="Times New Roman" w:eastAsia="新細明體" w:hAnsi="Times New Roman" w:cs="Times New Roman" w:hint="eastAsia"/>
          <w:i/>
          <w:sz w:val="20"/>
          <w:szCs w:val="20"/>
          <w:shd w:val="pct15" w:color="auto" w:fill="FFFFFF"/>
          <w:lang w:val="en-GB"/>
        </w:rPr>
        <w:instrText>REF _Ref85458546 \h</w:instrText>
      </w:r>
      <w:r w:rsidRPr="00C40AEF">
        <w:rPr>
          <w:rFonts w:ascii="Times New Roman" w:eastAsia="新細明體" w:hAnsi="Times New Roman" w:cs="Times New Roman"/>
          <w:i/>
          <w:sz w:val="20"/>
          <w:szCs w:val="20"/>
          <w:shd w:val="pct15" w:color="auto" w:fill="FFFFFF"/>
          <w:lang w:val="en-GB"/>
        </w:rPr>
        <w:instrText xml:space="preserve">  \* MERGEFORMAT </w:instrText>
      </w:r>
      <w:r w:rsidRPr="00C40AEF">
        <w:rPr>
          <w:rFonts w:ascii="Times New Roman" w:eastAsia="新細明體" w:hAnsi="Times New Roman" w:cs="Times New Roman"/>
          <w:i/>
          <w:sz w:val="20"/>
          <w:szCs w:val="20"/>
          <w:shd w:val="pct15" w:color="auto" w:fill="FFFFFF"/>
          <w:lang w:val="en-GB"/>
        </w:rPr>
      </w:r>
      <w:r w:rsidRPr="00C40AEF">
        <w:rPr>
          <w:rFonts w:ascii="Times New Roman" w:eastAsia="新細明體" w:hAnsi="Times New Roman" w:cs="Times New Roman"/>
          <w:i/>
          <w:sz w:val="20"/>
          <w:szCs w:val="20"/>
          <w:shd w:val="pct15" w:color="auto" w:fill="FFFFFF"/>
          <w:lang w:val="en-GB"/>
        </w:rPr>
        <w:fldChar w:fldCharType="separate"/>
      </w:r>
      <w:r w:rsidRPr="00C40AEF">
        <w:rPr>
          <w:rFonts w:eastAsia="新細明體" w:cstheme="minorHAnsi"/>
          <w:b/>
          <w:i/>
          <w:lang w:val="en-GB"/>
        </w:rPr>
        <w:t xml:space="preserve">Proposal </w:t>
      </w:r>
      <w:r w:rsidRPr="00C40AEF">
        <w:rPr>
          <w:rFonts w:eastAsia="新細明體" w:cstheme="minorHAnsi"/>
          <w:b/>
          <w:i/>
          <w:noProof/>
          <w:lang w:val="en-GB"/>
        </w:rPr>
        <w:t>2</w:t>
      </w:r>
      <w:r w:rsidRPr="00C40AEF">
        <w:rPr>
          <w:rFonts w:eastAsia="新細明體" w:cstheme="minorHAnsi"/>
          <w:b/>
          <w:i/>
          <w:lang w:val="en-GB"/>
        </w:rPr>
        <w:t xml:space="preserve">: </w:t>
      </w:r>
      <w:r w:rsidRPr="008B5863">
        <w:rPr>
          <w:rFonts w:eastAsia="新細明體" w:cstheme="minorHAnsi"/>
          <w:b/>
          <w:i/>
          <w:iCs/>
          <w:color w:val="000000"/>
        </w:rPr>
        <w:t xml:space="preserve">If DRX is in used, </w:t>
      </w:r>
      <w:r w:rsidRPr="00C40AEF">
        <w:rPr>
          <w:rFonts w:eastAsia="新細明體" w:cstheme="minorHAnsi"/>
          <w:b/>
          <w:i/>
          <w:color w:val="000000"/>
        </w:rPr>
        <w:t>when</w:t>
      </w:r>
      <w:r w:rsidRPr="00C40AEF">
        <w:rPr>
          <w:rFonts w:eastAsia="新細明體" w:cstheme="minorHAnsi"/>
          <w:b/>
          <w:i/>
          <w:color w:val="000000"/>
          <w:lang w:val="en-GB"/>
        </w:rPr>
        <w:t xml:space="preserve"> the </w:t>
      </w:r>
      <w:r w:rsidRPr="008B5863">
        <w:rPr>
          <w:rFonts w:eastAsia="新細明體" w:cstheme="minorHAnsi"/>
          <w:b/>
          <w:i/>
          <w:iCs/>
          <w:color w:val="000000"/>
        </w:rPr>
        <w:t xml:space="preserve">number of DRX cycles with at least one SMTC where there are no SSBs available at the UE </w:t>
      </w:r>
      <w:r w:rsidRPr="008B5863">
        <w:rPr>
          <w:rFonts w:eastAsia="新細明體" w:cstheme="minorHAnsi"/>
          <w:b/>
          <w:i/>
          <w:color w:val="000000"/>
          <w:lang w:val="en-GB"/>
        </w:rPr>
        <w:t xml:space="preserve">on the last </w:t>
      </w:r>
      <w:r w:rsidRPr="008B5863">
        <w:rPr>
          <w:rFonts w:eastAsia="新細明體" w:cstheme="minorHAnsi"/>
          <w:b/>
          <w:i/>
          <w:iCs/>
          <w:color w:val="000000"/>
          <w:lang w:val="en-GB"/>
        </w:rPr>
        <w:t xml:space="preserve">evaluation window </w:t>
      </w:r>
      <w:r w:rsidRPr="008B5863">
        <w:rPr>
          <w:rFonts w:eastAsia="新細明體" w:cstheme="minorHAnsi"/>
          <w:b/>
          <w:i/>
          <w:color w:val="000000"/>
          <w:lang w:val="en-GB"/>
        </w:rPr>
        <w:t>W</w:t>
      </w:r>
      <w:r w:rsidRPr="008B5863">
        <w:rPr>
          <w:rFonts w:eastAsia="新細明體" w:cstheme="minorHAnsi"/>
          <w:b/>
          <w:i/>
          <w:color w:val="000000"/>
          <w:vertAlign w:val="subscript"/>
          <w:lang w:val="en-GB"/>
        </w:rPr>
        <w:t>CCA_DL</w:t>
      </w:r>
      <w:r w:rsidRPr="008B5863">
        <w:rPr>
          <w:rFonts w:eastAsia="新細明體" w:cstheme="minorHAnsi"/>
          <w:b/>
          <w:i/>
          <w:color w:val="000000"/>
          <w:lang w:val="en-GB"/>
        </w:rPr>
        <w:t>is larger or equal to L</w:t>
      </w:r>
      <w:r w:rsidRPr="008B5863">
        <w:rPr>
          <w:rFonts w:eastAsia="新細明體" w:cstheme="minorHAnsi"/>
          <w:b/>
          <w:i/>
          <w:color w:val="000000"/>
          <w:vertAlign w:val="subscript"/>
          <w:lang w:val="en-GB"/>
        </w:rPr>
        <w:t>CCA_DL</w:t>
      </w:r>
      <w:r w:rsidRPr="008B5863">
        <w:rPr>
          <w:rFonts w:eastAsia="新細明體" w:cstheme="minorHAnsi"/>
          <w:b/>
          <w:i/>
          <w:color w:val="000000"/>
          <w:lang w:val="en-GB"/>
        </w:rPr>
        <w:t>, the CCA attempt is considered successful for transmission</w:t>
      </w:r>
      <w:r w:rsidRPr="00C40AEF">
        <w:rPr>
          <w:rFonts w:ascii="Times New Roman" w:eastAsia="新細明體" w:hAnsi="Times New Roman" w:cs="Times New Roman"/>
          <w:i/>
          <w:sz w:val="20"/>
          <w:szCs w:val="20"/>
          <w:shd w:val="pct15" w:color="auto" w:fill="FFFFFF"/>
          <w:lang w:val="en-GB"/>
        </w:rPr>
        <w:fldChar w:fldCharType="end"/>
      </w:r>
    </w:p>
    <w:p w:rsidR="00130D9C" w:rsidRPr="00BD7D3D" w:rsidRDefault="000F20AC" w:rsidP="00130D9C">
      <w:pPr>
        <w:pStyle w:val="1"/>
        <w:ind w:left="0" w:firstLine="0"/>
        <w:rPr>
          <w:rFonts w:asciiTheme="minorHAnsi" w:hAnsiTheme="minorHAnsi" w:cstheme="minorHAnsi"/>
        </w:rPr>
      </w:pPr>
      <w:r w:rsidRPr="00BD7D3D">
        <w:rPr>
          <w:rFonts w:asciiTheme="minorHAnsi" w:hAnsiTheme="minorHAnsi" w:cstheme="minorHAnsi"/>
        </w:rPr>
        <w:t>References</w:t>
      </w:r>
    </w:p>
    <w:p w:rsidR="00321E94" w:rsidRPr="00BD7D3D" w:rsidRDefault="00D22F08" w:rsidP="00B5473B">
      <w:pPr>
        <w:rPr>
          <w:rFonts w:eastAsia="新細明體" w:cstheme="minorHAnsi"/>
          <w:color w:val="000000"/>
          <w:sz w:val="20"/>
          <w:szCs w:val="16"/>
        </w:rPr>
      </w:pPr>
      <w:r w:rsidRPr="00BD7D3D">
        <w:rPr>
          <w:rFonts w:eastAsia="新細明體" w:cstheme="minorHAnsi"/>
          <w:color w:val="000000"/>
          <w:sz w:val="20"/>
          <w:szCs w:val="16"/>
        </w:rPr>
        <w:t xml:space="preserve">[1] </w:t>
      </w:r>
      <w:r w:rsidR="000E6D7F" w:rsidRPr="00BD7D3D">
        <w:rPr>
          <w:rFonts w:eastAsia="新細明體" w:cstheme="minorHAnsi"/>
          <w:color w:val="000000"/>
          <w:sz w:val="20"/>
          <w:szCs w:val="16"/>
        </w:rPr>
        <w:t xml:space="preserve">R4-2115286, </w:t>
      </w:r>
      <w:r w:rsidR="00555DAA" w:rsidRPr="00BD7D3D">
        <w:rPr>
          <w:rFonts w:eastAsia="新細明體" w:cstheme="minorHAnsi"/>
          <w:color w:val="000000"/>
          <w:sz w:val="20"/>
          <w:szCs w:val="16"/>
        </w:rPr>
        <w:t>WF on NR-U RRM performance requirements, Nokia, Nokia Shanghai Bell.</w:t>
      </w:r>
    </w:p>
    <w:p w:rsidR="00895830" w:rsidRPr="00895830" w:rsidRDefault="00895830" w:rsidP="00B5473B">
      <w:pPr>
        <w:rPr>
          <w:rFonts w:eastAsia="新細明體"/>
        </w:rPr>
      </w:pPr>
    </w:p>
    <w:sectPr w:rsidR="00895830" w:rsidRPr="008958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084" w:rsidRDefault="00E53084">
      <w:r>
        <w:separator/>
      </w:r>
    </w:p>
  </w:endnote>
  <w:endnote w:type="continuationSeparator" w:id="0">
    <w:p w:rsidR="00E53084" w:rsidRDefault="00E5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084" w:rsidRDefault="00E53084">
      <w:r>
        <w:separator/>
      </w:r>
    </w:p>
  </w:footnote>
  <w:footnote w:type="continuationSeparator" w:id="0">
    <w:p w:rsidR="00E53084" w:rsidRDefault="00E53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707EA5"/>
    <w:multiLevelType w:val="hybridMultilevel"/>
    <w:tmpl w:val="9536CC84"/>
    <w:lvl w:ilvl="0" w:tplc="5AF8539E">
      <w:start w:val="1"/>
      <w:numFmt w:val="bullet"/>
      <w:lvlText w:val="•"/>
      <w:lvlJc w:val="left"/>
      <w:pPr>
        <w:tabs>
          <w:tab w:val="num" w:pos="720"/>
        </w:tabs>
        <w:ind w:left="720" w:hanging="360"/>
      </w:pPr>
      <w:rPr>
        <w:rFonts w:ascii="Arial" w:hAnsi="Arial" w:hint="default"/>
      </w:rPr>
    </w:lvl>
    <w:lvl w:ilvl="1" w:tplc="2EA284AA">
      <w:numFmt w:val="bullet"/>
      <w:lvlText w:val="•"/>
      <w:lvlJc w:val="left"/>
      <w:pPr>
        <w:tabs>
          <w:tab w:val="num" w:pos="1440"/>
        </w:tabs>
        <w:ind w:left="1440" w:hanging="360"/>
      </w:pPr>
      <w:rPr>
        <w:rFonts w:ascii="Arial" w:hAnsi="Arial" w:hint="default"/>
      </w:rPr>
    </w:lvl>
    <w:lvl w:ilvl="2" w:tplc="10E6A216" w:tentative="1">
      <w:start w:val="1"/>
      <w:numFmt w:val="bullet"/>
      <w:lvlText w:val="•"/>
      <w:lvlJc w:val="left"/>
      <w:pPr>
        <w:tabs>
          <w:tab w:val="num" w:pos="2160"/>
        </w:tabs>
        <w:ind w:left="2160" w:hanging="360"/>
      </w:pPr>
      <w:rPr>
        <w:rFonts w:ascii="Arial" w:hAnsi="Arial" w:hint="default"/>
      </w:rPr>
    </w:lvl>
    <w:lvl w:ilvl="3" w:tplc="B846FC86" w:tentative="1">
      <w:start w:val="1"/>
      <w:numFmt w:val="bullet"/>
      <w:lvlText w:val="•"/>
      <w:lvlJc w:val="left"/>
      <w:pPr>
        <w:tabs>
          <w:tab w:val="num" w:pos="2880"/>
        </w:tabs>
        <w:ind w:left="2880" w:hanging="360"/>
      </w:pPr>
      <w:rPr>
        <w:rFonts w:ascii="Arial" w:hAnsi="Arial" w:hint="default"/>
      </w:rPr>
    </w:lvl>
    <w:lvl w:ilvl="4" w:tplc="6AA00F92" w:tentative="1">
      <w:start w:val="1"/>
      <w:numFmt w:val="bullet"/>
      <w:lvlText w:val="•"/>
      <w:lvlJc w:val="left"/>
      <w:pPr>
        <w:tabs>
          <w:tab w:val="num" w:pos="3600"/>
        </w:tabs>
        <w:ind w:left="3600" w:hanging="360"/>
      </w:pPr>
      <w:rPr>
        <w:rFonts w:ascii="Arial" w:hAnsi="Arial" w:hint="default"/>
      </w:rPr>
    </w:lvl>
    <w:lvl w:ilvl="5" w:tplc="A912AB9C" w:tentative="1">
      <w:start w:val="1"/>
      <w:numFmt w:val="bullet"/>
      <w:lvlText w:val="•"/>
      <w:lvlJc w:val="left"/>
      <w:pPr>
        <w:tabs>
          <w:tab w:val="num" w:pos="4320"/>
        </w:tabs>
        <w:ind w:left="4320" w:hanging="360"/>
      </w:pPr>
      <w:rPr>
        <w:rFonts w:ascii="Arial" w:hAnsi="Arial" w:hint="default"/>
      </w:rPr>
    </w:lvl>
    <w:lvl w:ilvl="6" w:tplc="21D4046C" w:tentative="1">
      <w:start w:val="1"/>
      <w:numFmt w:val="bullet"/>
      <w:lvlText w:val="•"/>
      <w:lvlJc w:val="left"/>
      <w:pPr>
        <w:tabs>
          <w:tab w:val="num" w:pos="5040"/>
        </w:tabs>
        <w:ind w:left="5040" w:hanging="360"/>
      </w:pPr>
      <w:rPr>
        <w:rFonts w:ascii="Arial" w:hAnsi="Arial" w:hint="default"/>
      </w:rPr>
    </w:lvl>
    <w:lvl w:ilvl="7" w:tplc="23BC3F7E" w:tentative="1">
      <w:start w:val="1"/>
      <w:numFmt w:val="bullet"/>
      <w:lvlText w:val="•"/>
      <w:lvlJc w:val="left"/>
      <w:pPr>
        <w:tabs>
          <w:tab w:val="num" w:pos="5760"/>
        </w:tabs>
        <w:ind w:left="5760" w:hanging="360"/>
      </w:pPr>
      <w:rPr>
        <w:rFonts w:ascii="Arial" w:hAnsi="Arial" w:hint="default"/>
      </w:rPr>
    </w:lvl>
    <w:lvl w:ilvl="8" w:tplc="32B0D2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192B2E"/>
    <w:multiLevelType w:val="hybridMultilevel"/>
    <w:tmpl w:val="8C4A821C"/>
    <w:lvl w:ilvl="0" w:tplc="DBAA8538">
      <w:start w:val="1"/>
      <w:numFmt w:val="bullet"/>
      <w:lvlText w:val="•"/>
      <w:lvlJc w:val="left"/>
      <w:pPr>
        <w:tabs>
          <w:tab w:val="num" w:pos="720"/>
        </w:tabs>
        <w:ind w:left="720" w:hanging="360"/>
      </w:pPr>
      <w:rPr>
        <w:rFonts w:ascii="Arial" w:hAnsi="Arial" w:hint="default"/>
      </w:rPr>
    </w:lvl>
    <w:lvl w:ilvl="1" w:tplc="4AD65BF8" w:tentative="1">
      <w:start w:val="1"/>
      <w:numFmt w:val="bullet"/>
      <w:lvlText w:val="•"/>
      <w:lvlJc w:val="left"/>
      <w:pPr>
        <w:tabs>
          <w:tab w:val="num" w:pos="1440"/>
        </w:tabs>
        <w:ind w:left="1440" w:hanging="360"/>
      </w:pPr>
      <w:rPr>
        <w:rFonts w:ascii="Arial" w:hAnsi="Arial" w:hint="default"/>
      </w:rPr>
    </w:lvl>
    <w:lvl w:ilvl="2" w:tplc="C23ACB58" w:tentative="1">
      <w:start w:val="1"/>
      <w:numFmt w:val="bullet"/>
      <w:lvlText w:val="•"/>
      <w:lvlJc w:val="left"/>
      <w:pPr>
        <w:tabs>
          <w:tab w:val="num" w:pos="2160"/>
        </w:tabs>
        <w:ind w:left="2160" w:hanging="360"/>
      </w:pPr>
      <w:rPr>
        <w:rFonts w:ascii="Arial" w:hAnsi="Arial" w:hint="default"/>
      </w:rPr>
    </w:lvl>
    <w:lvl w:ilvl="3" w:tplc="792AB53E" w:tentative="1">
      <w:start w:val="1"/>
      <w:numFmt w:val="bullet"/>
      <w:lvlText w:val="•"/>
      <w:lvlJc w:val="left"/>
      <w:pPr>
        <w:tabs>
          <w:tab w:val="num" w:pos="2880"/>
        </w:tabs>
        <w:ind w:left="2880" w:hanging="360"/>
      </w:pPr>
      <w:rPr>
        <w:rFonts w:ascii="Arial" w:hAnsi="Arial" w:hint="default"/>
      </w:rPr>
    </w:lvl>
    <w:lvl w:ilvl="4" w:tplc="94D42522" w:tentative="1">
      <w:start w:val="1"/>
      <w:numFmt w:val="bullet"/>
      <w:lvlText w:val="•"/>
      <w:lvlJc w:val="left"/>
      <w:pPr>
        <w:tabs>
          <w:tab w:val="num" w:pos="3600"/>
        </w:tabs>
        <w:ind w:left="3600" w:hanging="360"/>
      </w:pPr>
      <w:rPr>
        <w:rFonts w:ascii="Arial" w:hAnsi="Arial" w:hint="default"/>
      </w:rPr>
    </w:lvl>
    <w:lvl w:ilvl="5" w:tplc="F684B84A" w:tentative="1">
      <w:start w:val="1"/>
      <w:numFmt w:val="bullet"/>
      <w:lvlText w:val="•"/>
      <w:lvlJc w:val="left"/>
      <w:pPr>
        <w:tabs>
          <w:tab w:val="num" w:pos="4320"/>
        </w:tabs>
        <w:ind w:left="4320" w:hanging="360"/>
      </w:pPr>
      <w:rPr>
        <w:rFonts w:ascii="Arial" w:hAnsi="Arial" w:hint="default"/>
      </w:rPr>
    </w:lvl>
    <w:lvl w:ilvl="6" w:tplc="5C72FBCA" w:tentative="1">
      <w:start w:val="1"/>
      <w:numFmt w:val="bullet"/>
      <w:lvlText w:val="•"/>
      <w:lvlJc w:val="left"/>
      <w:pPr>
        <w:tabs>
          <w:tab w:val="num" w:pos="5040"/>
        </w:tabs>
        <w:ind w:left="5040" w:hanging="360"/>
      </w:pPr>
      <w:rPr>
        <w:rFonts w:ascii="Arial" w:hAnsi="Arial" w:hint="default"/>
      </w:rPr>
    </w:lvl>
    <w:lvl w:ilvl="7" w:tplc="2FAE70E8" w:tentative="1">
      <w:start w:val="1"/>
      <w:numFmt w:val="bullet"/>
      <w:lvlText w:val="•"/>
      <w:lvlJc w:val="left"/>
      <w:pPr>
        <w:tabs>
          <w:tab w:val="num" w:pos="5760"/>
        </w:tabs>
        <w:ind w:left="5760" w:hanging="360"/>
      </w:pPr>
      <w:rPr>
        <w:rFonts w:ascii="Arial" w:hAnsi="Arial" w:hint="default"/>
      </w:rPr>
    </w:lvl>
    <w:lvl w:ilvl="8" w:tplc="EFDC53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8414BF"/>
    <w:multiLevelType w:val="hybridMultilevel"/>
    <w:tmpl w:val="4A447000"/>
    <w:lvl w:ilvl="0" w:tplc="214A63E6">
      <w:start w:val="1"/>
      <w:numFmt w:val="bullet"/>
      <w:lvlText w:val="•"/>
      <w:lvlJc w:val="left"/>
      <w:pPr>
        <w:tabs>
          <w:tab w:val="num" w:pos="720"/>
        </w:tabs>
        <w:ind w:left="720" w:hanging="360"/>
      </w:pPr>
      <w:rPr>
        <w:rFonts w:ascii="Arial" w:hAnsi="Arial" w:hint="default"/>
      </w:rPr>
    </w:lvl>
    <w:lvl w:ilvl="1" w:tplc="0F3E0404" w:tentative="1">
      <w:start w:val="1"/>
      <w:numFmt w:val="bullet"/>
      <w:lvlText w:val="•"/>
      <w:lvlJc w:val="left"/>
      <w:pPr>
        <w:tabs>
          <w:tab w:val="num" w:pos="1440"/>
        </w:tabs>
        <w:ind w:left="1440" w:hanging="360"/>
      </w:pPr>
      <w:rPr>
        <w:rFonts w:ascii="Arial" w:hAnsi="Arial" w:hint="default"/>
      </w:rPr>
    </w:lvl>
    <w:lvl w:ilvl="2" w:tplc="7C52DE2C" w:tentative="1">
      <w:start w:val="1"/>
      <w:numFmt w:val="bullet"/>
      <w:lvlText w:val="•"/>
      <w:lvlJc w:val="left"/>
      <w:pPr>
        <w:tabs>
          <w:tab w:val="num" w:pos="2160"/>
        </w:tabs>
        <w:ind w:left="2160" w:hanging="360"/>
      </w:pPr>
      <w:rPr>
        <w:rFonts w:ascii="Arial" w:hAnsi="Arial" w:hint="default"/>
      </w:rPr>
    </w:lvl>
    <w:lvl w:ilvl="3" w:tplc="F4F4CA54" w:tentative="1">
      <w:start w:val="1"/>
      <w:numFmt w:val="bullet"/>
      <w:lvlText w:val="•"/>
      <w:lvlJc w:val="left"/>
      <w:pPr>
        <w:tabs>
          <w:tab w:val="num" w:pos="2880"/>
        </w:tabs>
        <w:ind w:left="2880" w:hanging="360"/>
      </w:pPr>
      <w:rPr>
        <w:rFonts w:ascii="Arial" w:hAnsi="Arial" w:hint="default"/>
      </w:rPr>
    </w:lvl>
    <w:lvl w:ilvl="4" w:tplc="A520375A" w:tentative="1">
      <w:start w:val="1"/>
      <w:numFmt w:val="bullet"/>
      <w:lvlText w:val="•"/>
      <w:lvlJc w:val="left"/>
      <w:pPr>
        <w:tabs>
          <w:tab w:val="num" w:pos="3600"/>
        </w:tabs>
        <w:ind w:left="3600" w:hanging="360"/>
      </w:pPr>
      <w:rPr>
        <w:rFonts w:ascii="Arial" w:hAnsi="Arial" w:hint="default"/>
      </w:rPr>
    </w:lvl>
    <w:lvl w:ilvl="5" w:tplc="D004C536" w:tentative="1">
      <w:start w:val="1"/>
      <w:numFmt w:val="bullet"/>
      <w:lvlText w:val="•"/>
      <w:lvlJc w:val="left"/>
      <w:pPr>
        <w:tabs>
          <w:tab w:val="num" w:pos="4320"/>
        </w:tabs>
        <w:ind w:left="4320" w:hanging="360"/>
      </w:pPr>
      <w:rPr>
        <w:rFonts w:ascii="Arial" w:hAnsi="Arial" w:hint="default"/>
      </w:rPr>
    </w:lvl>
    <w:lvl w:ilvl="6" w:tplc="3C0CE0AA" w:tentative="1">
      <w:start w:val="1"/>
      <w:numFmt w:val="bullet"/>
      <w:lvlText w:val="•"/>
      <w:lvlJc w:val="left"/>
      <w:pPr>
        <w:tabs>
          <w:tab w:val="num" w:pos="5040"/>
        </w:tabs>
        <w:ind w:left="5040" w:hanging="360"/>
      </w:pPr>
      <w:rPr>
        <w:rFonts w:ascii="Arial" w:hAnsi="Arial" w:hint="default"/>
      </w:rPr>
    </w:lvl>
    <w:lvl w:ilvl="7" w:tplc="59C2C46C" w:tentative="1">
      <w:start w:val="1"/>
      <w:numFmt w:val="bullet"/>
      <w:lvlText w:val="•"/>
      <w:lvlJc w:val="left"/>
      <w:pPr>
        <w:tabs>
          <w:tab w:val="num" w:pos="5760"/>
        </w:tabs>
        <w:ind w:left="5760" w:hanging="360"/>
      </w:pPr>
      <w:rPr>
        <w:rFonts w:ascii="Arial" w:hAnsi="Arial" w:hint="default"/>
      </w:rPr>
    </w:lvl>
    <w:lvl w:ilvl="8" w:tplc="D6AC20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BAE24F4"/>
    <w:multiLevelType w:val="hybridMultilevel"/>
    <w:tmpl w:val="C100D914"/>
    <w:lvl w:ilvl="0" w:tplc="04090001">
      <w:start w:val="1"/>
      <w:numFmt w:val="bullet"/>
      <w:lvlText w:val=""/>
      <w:lvlJc w:val="left"/>
      <w:pPr>
        <w:ind w:left="760" w:hanging="480"/>
      </w:pPr>
      <w:rPr>
        <w:rFonts w:ascii="Wingdings" w:hAnsi="Wingdings" w:hint="default"/>
      </w:rPr>
    </w:lvl>
    <w:lvl w:ilvl="1" w:tplc="04090003">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26"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7"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023431"/>
    <w:multiLevelType w:val="hybridMultilevel"/>
    <w:tmpl w:val="0534EE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20"/>
  </w:num>
  <w:num w:numId="3">
    <w:abstractNumId w:val="5"/>
  </w:num>
  <w:num w:numId="4">
    <w:abstractNumId w:val="35"/>
  </w:num>
  <w:num w:numId="5">
    <w:abstractNumId w:val="23"/>
  </w:num>
  <w:num w:numId="6">
    <w:abstractNumId w:val="17"/>
  </w:num>
  <w:num w:numId="7">
    <w:abstractNumId w:val="33"/>
  </w:num>
  <w:num w:numId="8">
    <w:abstractNumId w:val="26"/>
  </w:num>
  <w:num w:numId="9">
    <w:abstractNumId w:val="31"/>
  </w:num>
  <w:num w:numId="10">
    <w:abstractNumId w:val="1"/>
  </w:num>
  <w:num w:numId="11">
    <w:abstractNumId w:val="18"/>
  </w:num>
  <w:num w:numId="12">
    <w:abstractNumId w:val="41"/>
  </w:num>
  <w:num w:numId="13">
    <w:abstractNumId w:val="38"/>
  </w:num>
  <w:num w:numId="14">
    <w:abstractNumId w:val="16"/>
  </w:num>
  <w:num w:numId="15">
    <w:abstractNumId w:val="29"/>
  </w:num>
  <w:num w:numId="16">
    <w:abstractNumId w:val="2"/>
  </w:num>
  <w:num w:numId="17">
    <w:abstractNumId w:val="11"/>
  </w:num>
  <w:num w:numId="18">
    <w:abstractNumId w:val="45"/>
  </w:num>
  <w:num w:numId="19">
    <w:abstractNumId w:val="43"/>
  </w:num>
  <w:num w:numId="20">
    <w:abstractNumId w:val="44"/>
  </w:num>
  <w:num w:numId="21">
    <w:abstractNumId w:val="0"/>
  </w:num>
  <w:num w:numId="22">
    <w:abstractNumId w:val="21"/>
  </w:num>
  <w:num w:numId="23">
    <w:abstractNumId w:val="6"/>
  </w:num>
  <w:num w:numId="24">
    <w:abstractNumId w:val="14"/>
  </w:num>
  <w:num w:numId="25">
    <w:abstractNumId w:val="39"/>
  </w:num>
  <w:num w:numId="26">
    <w:abstractNumId w:val="27"/>
  </w:num>
  <w:num w:numId="27">
    <w:abstractNumId w:val="9"/>
  </w:num>
  <w:num w:numId="28">
    <w:abstractNumId w:val="7"/>
  </w:num>
  <w:num w:numId="29">
    <w:abstractNumId w:val="32"/>
  </w:num>
  <w:num w:numId="30">
    <w:abstractNumId w:val="22"/>
  </w:num>
  <w:num w:numId="31">
    <w:abstractNumId w:val="34"/>
  </w:num>
  <w:num w:numId="32">
    <w:abstractNumId w:val="4"/>
  </w:num>
  <w:num w:numId="33">
    <w:abstractNumId w:val="36"/>
  </w:num>
  <w:num w:numId="34">
    <w:abstractNumId w:val="37"/>
  </w:num>
  <w:num w:numId="35">
    <w:abstractNumId w:val="24"/>
  </w:num>
  <w:num w:numId="36">
    <w:abstractNumId w:val="12"/>
  </w:num>
  <w:num w:numId="37">
    <w:abstractNumId w:val="28"/>
  </w:num>
  <w:num w:numId="38">
    <w:abstractNumId w:val="19"/>
  </w:num>
  <w:num w:numId="39">
    <w:abstractNumId w:val="8"/>
  </w:num>
  <w:num w:numId="40">
    <w:abstractNumId w:val="3"/>
  </w:num>
  <w:num w:numId="41">
    <w:abstractNumId w:val="30"/>
  </w:num>
  <w:num w:numId="42">
    <w:abstractNumId w:val="10"/>
  </w:num>
  <w:num w:numId="43">
    <w:abstractNumId w:val="13"/>
  </w:num>
  <w:num w:numId="44">
    <w:abstractNumId w:val="42"/>
  </w:num>
  <w:num w:numId="45">
    <w:abstractNumId w:val="25"/>
  </w:num>
  <w:num w:numId="4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02"/>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1DE2"/>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74E"/>
    <w:rsid w:val="000219F5"/>
    <w:rsid w:val="00021B2D"/>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22A"/>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0F7D"/>
    <w:rsid w:val="00081024"/>
    <w:rsid w:val="00081073"/>
    <w:rsid w:val="0008119F"/>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264"/>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46"/>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D7F"/>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1F1F"/>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9C"/>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9B5"/>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0B1E"/>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C21"/>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8EE"/>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DB"/>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1F6B"/>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36D"/>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01B"/>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6B"/>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111"/>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1C9"/>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D7F62"/>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793"/>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CB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E0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574"/>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461"/>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7D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2ACF"/>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95D"/>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4F0"/>
    <w:rsid w:val="005157D9"/>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538"/>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5DAA"/>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77F7C"/>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3D58"/>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D51"/>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35E"/>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976"/>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1BAC"/>
    <w:rsid w:val="006C2020"/>
    <w:rsid w:val="006C28F2"/>
    <w:rsid w:val="006C3587"/>
    <w:rsid w:val="006C37A2"/>
    <w:rsid w:val="006C37DA"/>
    <w:rsid w:val="006C3825"/>
    <w:rsid w:val="006C3A33"/>
    <w:rsid w:val="006C3CC4"/>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4DAB"/>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5B5"/>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1AC"/>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16B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A6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3F"/>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0F8E"/>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6B5"/>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03F"/>
    <w:rsid w:val="008B1B15"/>
    <w:rsid w:val="008B201E"/>
    <w:rsid w:val="008B2555"/>
    <w:rsid w:val="008B26FB"/>
    <w:rsid w:val="008B2933"/>
    <w:rsid w:val="008B2E89"/>
    <w:rsid w:val="008B30D4"/>
    <w:rsid w:val="008B3A0A"/>
    <w:rsid w:val="008B45E7"/>
    <w:rsid w:val="008B471E"/>
    <w:rsid w:val="008B5290"/>
    <w:rsid w:val="008B55FA"/>
    <w:rsid w:val="008B5863"/>
    <w:rsid w:val="008B60A7"/>
    <w:rsid w:val="008B6491"/>
    <w:rsid w:val="008B6D94"/>
    <w:rsid w:val="008B6DDE"/>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8F9"/>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8F7D18"/>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3D5"/>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6F38"/>
    <w:rsid w:val="009472C4"/>
    <w:rsid w:val="0094732C"/>
    <w:rsid w:val="00947472"/>
    <w:rsid w:val="009479E4"/>
    <w:rsid w:val="00947A09"/>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15E9"/>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57B"/>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9F7E86"/>
    <w:rsid w:val="00A00F75"/>
    <w:rsid w:val="00A01154"/>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41"/>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6F"/>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06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AA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D7D3D"/>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2EAF"/>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07B"/>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2D8E"/>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66E"/>
    <w:rsid w:val="00C35E7A"/>
    <w:rsid w:val="00C36388"/>
    <w:rsid w:val="00C371E7"/>
    <w:rsid w:val="00C37251"/>
    <w:rsid w:val="00C3745F"/>
    <w:rsid w:val="00C37ABB"/>
    <w:rsid w:val="00C37BB2"/>
    <w:rsid w:val="00C37EA6"/>
    <w:rsid w:val="00C40733"/>
    <w:rsid w:val="00C408D7"/>
    <w:rsid w:val="00C40A25"/>
    <w:rsid w:val="00C40AEF"/>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31"/>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754"/>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04C"/>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084"/>
    <w:rsid w:val="00E5320A"/>
    <w:rsid w:val="00E5332D"/>
    <w:rsid w:val="00E53541"/>
    <w:rsid w:val="00E538C0"/>
    <w:rsid w:val="00E53B1A"/>
    <w:rsid w:val="00E53CFB"/>
    <w:rsid w:val="00E53DC3"/>
    <w:rsid w:val="00E54329"/>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C3E"/>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3AF"/>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4B61"/>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2E19"/>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44A"/>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B2C"/>
    <w:rsid w:val="00F67C10"/>
    <w:rsid w:val="00F700F3"/>
    <w:rsid w:val="00F703DB"/>
    <w:rsid w:val="00F7082C"/>
    <w:rsid w:val="00F71595"/>
    <w:rsid w:val="00F7166C"/>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89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2E7"/>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2BD1"/>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F8E"/>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50F8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50F8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94091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2427781">
      <w:bodyDiv w:val="1"/>
      <w:marLeft w:val="0"/>
      <w:marRight w:val="0"/>
      <w:marTop w:val="0"/>
      <w:marBottom w:val="0"/>
      <w:divBdr>
        <w:top w:val="none" w:sz="0" w:space="0" w:color="auto"/>
        <w:left w:val="none" w:sz="0" w:space="0" w:color="auto"/>
        <w:bottom w:val="none" w:sz="0" w:space="0" w:color="auto"/>
        <w:right w:val="none" w:sz="0" w:space="0" w:color="auto"/>
      </w:divBdr>
      <w:divsChild>
        <w:div w:id="1586452178">
          <w:marLeft w:val="360"/>
          <w:marRight w:val="0"/>
          <w:marTop w:val="200"/>
          <w:marBottom w:val="0"/>
          <w:divBdr>
            <w:top w:val="none" w:sz="0" w:space="0" w:color="auto"/>
            <w:left w:val="none" w:sz="0" w:space="0" w:color="auto"/>
            <w:bottom w:val="none" w:sz="0" w:space="0" w:color="auto"/>
            <w:right w:val="none" w:sz="0" w:space="0" w:color="auto"/>
          </w:divBdr>
        </w:div>
      </w:divsChild>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7228326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7247077">
      <w:bodyDiv w:val="1"/>
      <w:marLeft w:val="0"/>
      <w:marRight w:val="0"/>
      <w:marTop w:val="0"/>
      <w:marBottom w:val="0"/>
      <w:divBdr>
        <w:top w:val="none" w:sz="0" w:space="0" w:color="auto"/>
        <w:left w:val="none" w:sz="0" w:space="0" w:color="auto"/>
        <w:bottom w:val="none" w:sz="0" w:space="0" w:color="auto"/>
        <w:right w:val="none" w:sz="0" w:space="0" w:color="auto"/>
      </w:divBdr>
      <w:divsChild>
        <w:div w:id="258946414">
          <w:marLeft w:val="360"/>
          <w:marRight w:val="0"/>
          <w:marTop w:val="200"/>
          <w:marBottom w:val="0"/>
          <w:divBdr>
            <w:top w:val="none" w:sz="0" w:space="0" w:color="auto"/>
            <w:left w:val="none" w:sz="0" w:space="0" w:color="auto"/>
            <w:bottom w:val="none" w:sz="0" w:space="0" w:color="auto"/>
            <w:right w:val="none" w:sz="0" w:space="0" w:color="auto"/>
          </w:divBdr>
        </w:div>
      </w:divsChild>
    </w:div>
    <w:div w:id="1597863368">
      <w:bodyDiv w:val="1"/>
      <w:marLeft w:val="0"/>
      <w:marRight w:val="0"/>
      <w:marTop w:val="0"/>
      <w:marBottom w:val="0"/>
      <w:divBdr>
        <w:top w:val="none" w:sz="0" w:space="0" w:color="auto"/>
        <w:left w:val="none" w:sz="0" w:space="0" w:color="auto"/>
        <w:bottom w:val="none" w:sz="0" w:space="0" w:color="auto"/>
        <w:right w:val="none" w:sz="0" w:space="0" w:color="auto"/>
      </w:divBdr>
      <w:divsChild>
        <w:div w:id="192696904">
          <w:marLeft w:val="360"/>
          <w:marRight w:val="0"/>
          <w:marTop w:val="200"/>
          <w:marBottom w:val="0"/>
          <w:divBdr>
            <w:top w:val="none" w:sz="0" w:space="0" w:color="auto"/>
            <w:left w:val="none" w:sz="0" w:space="0" w:color="auto"/>
            <w:bottom w:val="none" w:sz="0" w:space="0" w:color="auto"/>
            <w:right w:val="none" w:sz="0" w:space="0" w:color="auto"/>
          </w:divBdr>
        </w:div>
        <w:div w:id="946545998">
          <w:marLeft w:val="1080"/>
          <w:marRight w:val="0"/>
          <w:marTop w:val="100"/>
          <w:marBottom w:val="0"/>
          <w:divBdr>
            <w:top w:val="none" w:sz="0" w:space="0" w:color="auto"/>
            <w:left w:val="none" w:sz="0" w:space="0" w:color="auto"/>
            <w:bottom w:val="none" w:sz="0" w:space="0" w:color="auto"/>
            <w:right w:val="none" w:sz="0" w:space="0" w:color="auto"/>
          </w:divBdr>
        </w:div>
        <w:div w:id="1641495145">
          <w:marLeft w:val="1080"/>
          <w:marRight w:val="0"/>
          <w:marTop w:val="100"/>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CA420-0F62-46E2-958A-C33401D78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2021-10-18T06:06:00Z</dcterms:created>
  <dcterms:modified xsi:type="dcterms:W3CDTF">2021-10-22T09:00:00Z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